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54" w:rsidRDefault="00314A9D">
      <w:r w:rsidRPr="00EA5368">
        <w:rPr>
          <w:rFonts w:ascii="Book Antiqua" w:eastAsia="MS PMincho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D70EB" wp14:editId="4A91DB36">
                <wp:simplePos x="0" y="0"/>
                <wp:positionH relativeFrom="page">
                  <wp:posOffset>533400</wp:posOffset>
                </wp:positionH>
                <wp:positionV relativeFrom="page">
                  <wp:posOffset>1627085</wp:posOffset>
                </wp:positionV>
                <wp:extent cx="6858000" cy="0"/>
                <wp:effectExtent l="0" t="19050" r="19050" b="1905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4B4F0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7EA7E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28.1pt" to="582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" strokecolor="#74b4f0" strokeweight="3pt">
                <w10:wrap anchorx="page" anchory="page"/>
              </v:line>
            </w:pict>
          </mc:Fallback>
        </mc:AlternateContent>
      </w:r>
      <w:r w:rsidRPr="00EA5368">
        <w:rPr>
          <w:noProof/>
        </w:rPr>
        <w:drawing>
          <wp:inline distT="0" distB="0" distL="0" distR="0" wp14:anchorId="58937969" wp14:editId="2CA5A655">
            <wp:extent cx="6858000" cy="8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47" cy="9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8E" w:rsidRPr="0008598E" w:rsidRDefault="00203D13" w:rsidP="0008598E">
      <w:pPr>
        <w:keepNext/>
        <w:framePr w:dropCap="drop" w:lines="3" w:wrap="around" w:vAnchor="text" w:hAnchor="text"/>
        <w:spacing w:after="0" w:line="948" w:lineRule="exact"/>
        <w:textAlignment w:val="baseline"/>
        <w:rPr>
          <w:position w:val="-10"/>
          <w:sz w:val="127"/>
          <w:szCs w:val="24"/>
        </w:rPr>
      </w:pPr>
      <w:r>
        <w:rPr>
          <w:position w:val="-10"/>
          <w:sz w:val="127"/>
          <w:szCs w:val="24"/>
        </w:rPr>
        <w:t>H</w:t>
      </w:r>
    </w:p>
    <w:p w:rsidR="00772AFF" w:rsidRDefault="004F3F84" w:rsidP="00F93B5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8890616" wp14:editId="5BBB315D">
            <wp:simplePos x="0" y="0"/>
            <wp:positionH relativeFrom="margin">
              <wp:posOffset>4287520</wp:posOffset>
            </wp:positionH>
            <wp:positionV relativeFrom="paragraph">
              <wp:posOffset>352095</wp:posOffset>
            </wp:positionV>
            <wp:extent cx="2549525" cy="1699895"/>
            <wp:effectExtent l="171450" t="304800" r="155575" b="300355"/>
            <wp:wrapTight wrapText="bothSides">
              <wp:wrapPolygon edited="0">
                <wp:start x="20086" y="-384"/>
                <wp:lineTo x="11482" y="-3693"/>
                <wp:lineTo x="10750" y="21"/>
                <wp:lineTo x="2392" y="-3684"/>
                <wp:lineTo x="1660" y="30"/>
                <wp:lineTo x="268" y="-587"/>
                <wp:lineTo x="-887" y="6978"/>
                <wp:lineTo x="-113" y="7321"/>
                <wp:lineTo x="-845" y="11035"/>
                <wp:lineTo x="-71" y="11379"/>
                <wp:lineTo x="-803" y="15093"/>
                <wp:lineTo x="-29" y="15436"/>
                <wp:lineTo x="-142" y="19424"/>
                <wp:lineTo x="48" y="21023"/>
                <wp:lineTo x="1596" y="21709"/>
                <wp:lineTo x="1842" y="21313"/>
                <wp:lineTo x="13282" y="21336"/>
                <wp:lineTo x="21288" y="20847"/>
                <wp:lineTo x="21510" y="17159"/>
                <wp:lineTo x="21556" y="16927"/>
                <wp:lineTo x="21514" y="12869"/>
                <wp:lineTo x="21627" y="8881"/>
                <wp:lineTo x="21479" y="234"/>
                <wp:lineTo x="20086" y="-38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oup-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2074">
                      <a:off x="0" y="0"/>
                      <a:ext cx="2549525" cy="1699895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03D13">
        <w:rPr>
          <w:sz w:val="24"/>
          <w:szCs w:val="24"/>
        </w:rPr>
        <w:t>appy</w:t>
      </w:r>
      <w:proofErr w:type="gramEnd"/>
      <w:r w:rsidR="00203D13">
        <w:rPr>
          <w:sz w:val="24"/>
          <w:szCs w:val="24"/>
        </w:rPr>
        <w:t xml:space="preserve"> holidays! It’s that time of year when twinkling lights and sparkling decorations are spotted all across the landscape. Thoughts turn to friends and family, both near and far, that have made a difference in our lives. In this season of reflection, of thankfulness, an</w:t>
      </w:r>
      <w:r w:rsidR="00946C8A">
        <w:rPr>
          <w:sz w:val="24"/>
          <w:szCs w:val="24"/>
        </w:rPr>
        <w:t>d of giving, our team would like</w:t>
      </w:r>
      <w:r w:rsidR="00203D13">
        <w:rPr>
          <w:sz w:val="24"/>
          <w:szCs w:val="24"/>
        </w:rPr>
        <w:t xml:space="preserve"> to say “thank you” for your continued support of the </w:t>
      </w:r>
      <w:r w:rsidR="003B6A48">
        <w:rPr>
          <w:sz w:val="24"/>
          <w:szCs w:val="24"/>
        </w:rPr>
        <w:t xml:space="preserve">world’s greatest Air Force. We </w:t>
      </w:r>
      <w:r w:rsidR="00946C8A">
        <w:rPr>
          <w:sz w:val="24"/>
          <w:szCs w:val="24"/>
        </w:rPr>
        <w:t xml:space="preserve">appreciate you and </w:t>
      </w:r>
      <w:r w:rsidR="007C3C23">
        <w:rPr>
          <w:sz w:val="24"/>
          <w:szCs w:val="24"/>
        </w:rPr>
        <w:t xml:space="preserve">your commitment to </w:t>
      </w:r>
      <w:r w:rsidR="00CD07A6">
        <w:rPr>
          <w:sz w:val="24"/>
          <w:szCs w:val="24"/>
        </w:rPr>
        <w:t>manufacturing and distributing</w:t>
      </w:r>
      <w:r w:rsidR="007C3C23">
        <w:rPr>
          <w:sz w:val="24"/>
          <w:szCs w:val="24"/>
        </w:rPr>
        <w:t xml:space="preserve"> quality Air Force-branded merchandise</w:t>
      </w:r>
      <w:r w:rsidR="00772AFF">
        <w:rPr>
          <w:sz w:val="24"/>
          <w:szCs w:val="24"/>
        </w:rPr>
        <w:t xml:space="preserve"> proudly showcased by </w:t>
      </w:r>
      <w:r w:rsidR="00946C8A">
        <w:rPr>
          <w:sz w:val="24"/>
          <w:szCs w:val="24"/>
        </w:rPr>
        <w:t xml:space="preserve">patriotic </w:t>
      </w:r>
      <w:r w:rsidR="00B17C5D">
        <w:rPr>
          <w:sz w:val="24"/>
          <w:szCs w:val="24"/>
        </w:rPr>
        <w:t>consumers</w:t>
      </w:r>
      <w:r w:rsidR="00CD07A6">
        <w:rPr>
          <w:sz w:val="24"/>
          <w:szCs w:val="24"/>
        </w:rPr>
        <w:t>.</w:t>
      </w:r>
      <w:r w:rsidR="00751B3F">
        <w:rPr>
          <w:sz w:val="24"/>
          <w:szCs w:val="24"/>
        </w:rPr>
        <w:t xml:space="preserve"> Through your work, we are recruiting and retaining some of </w:t>
      </w:r>
      <w:r w:rsidR="0010081C">
        <w:rPr>
          <w:sz w:val="24"/>
          <w:szCs w:val="24"/>
        </w:rPr>
        <w:t>the</w:t>
      </w:r>
      <w:r w:rsidR="00751B3F">
        <w:rPr>
          <w:sz w:val="24"/>
          <w:szCs w:val="24"/>
        </w:rPr>
        <w:t xml:space="preserve"> best Air Force talent</w:t>
      </w:r>
      <w:r w:rsidR="0010081C">
        <w:rPr>
          <w:sz w:val="24"/>
          <w:szCs w:val="24"/>
        </w:rPr>
        <w:t xml:space="preserve"> in history</w:t>
      </w:r>
      <w:r w:rsidR="00751B3F">
        <w:rPr>
          <w:sz w:val="24"/>
          <w:szCs w:val="24"/>
        </w:rPr>
        <w:t>.</w:t>
      </w:r>
      <w:r w:rsidR="0010081C">
        <w:rPr>
          <w:sz w:val="24"/>
          <w:szCs w:val="24"/>
        </w:rPr>
        <w:t xml:space="preserve"> </w:t>
      </w:r>
    </w:p>
    <w:p w:rsidR="00203D13" w:rsidRDefault="0010081C" w:rsidP="00F93B54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="00772AFF">
        <w:rPr>
          <w:sz w:val="24"/>
          <w:szCs w:val="24"/>
        </w:rPr>
        <w:t xml:space="preserve"> and Merry Christmas</w:t>
      </w:r>
      <w:r>
        <w:rPr>
          <w:sz w:val="24"/>
          <w:szCs w:val="24"/>
        </w:rPr>
        <w:t xml:space="preserve">. </w:t>
      </w:r>
      <w:r w:rsidR="00CD07A6">
        <w:rPr>
          <w:sz w:val="24"/>
          <w:szCs w:val="24"/>
        </w:rPr>
        <w:t xml:space="preserve"> </w:t>
      </w:r>
      <w:bookmarkStart w:id="0" w:name="_GoBack"/>
      <w:bookmarkEnd w:id="0"/>
    </w:p>
    <w:p w:rsidR="00F93B54" w:rsidRPr="003F559D" w:rsidRDefault="00F93B54" w:rsidP="00683BD4">
      <w:pPr>
        <w:pStyle w:val="Heading1"/>
        <w15:collapsed/>
        <w:rPr>
          <w:b/>
        </w:rPr>
      </w:pPr>
      <w:r w:rsidRPr="003F559D">
        <w:rPr>
          <w:b/>
        </w:rPr>
        <w:t xml:space="preserve">Report </w:t>
      </w:r>
      <w:r w:rsidR="00BF1ACD">
        <w:rPr>
          <w:b/>
        </w:rPr>
        <w:t>through</w:t>
      </w:r>
      <w:r w:rsidR="007C3C23">
        <w:rPr>
          <w:b/>
        </w:rPr>
        <w:t xml:space="preserve"> Trademarx, pay </w:t>
      </w:r>
      <w:r w:rsidR="001E387C">
        <w:rPr>
          <w:b/>
        </w:rPr>
        <w:t>through</w:t>
      </w:r>
      <w:r w:rsidR="007C3C23">
        <w:rPr>
          <w:b/>
        </w:rPr>
        <w:t xml:space="preserve"> CRS</w:t>
      </w:r>
    </w:p>
    <w:p w:rsidR="00F93B54" w:rsidRDefault="007C3C23" w:rsidP="00F93B54">
      <w:pPr>
        <w:rPr>
          <w:sz w:val="24"/>
          <w:szCs w:val="24"/>
        </w:rPr>
      </w:pPr>
      <w:r>
        <w:rPr>
          <w:sz w:val="24"/>
          <w:szCs w:val="24"/>
        </w:rPr>
        <w:t>Effective</w:t>
      </w:r>
      <w:r w:rsidR="00013003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</w:t>
      </w:r>
      <w:r w:rsidR="00EB6E07">
        <w:rPr>
          <w:sz w:val="24"/>
          <w:szCs w:val="24"/>
        </w:rPr>
        <w:t xml:space="preserve">e </w:t>
      </w:r>
      <w:proofErr w:type="spellStart"/>
      <w:r w:rsidR="00EB6E07">
        <w:rPr>
          <w:sz w:val="24"/>
          <w:szCs w:val="24"/>
        </w:rPr>
        <w:t>4Q</w:t>
      </w:r>
      <w:proofErr w:type="spellEnd"/>
      <w:r w:rsidR="00EB6E07">
        <w:rPr>
          <w:sz w:val="24"/>
          <w:szCs w:val="24"/>
        </w:rPr>
        <w:t>/16</w:t>
      </w:r>
      <w:r>
        <w:rPr>
          <w:sz w:val="24"/>
          <w:szCs w:val="24"/>
        </w:rPr>
        <w:t xml:space="preserve"> reporting cycle, </w:t>
      </w:r>
      <w:r w:rsidR="00EB6E07" w:rsidRPr="00EB6E07">
        <w:rPr>
          <w:b/>
          <w:sz w:val="24"/>
          <w:szCs w:val="24"/>
        </w:rPr>
        <w:t>ALL</w:t>
      </w:r>
      <w:r w:rsidR="00EB6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licensees will be eligible to make their quarterly royalty payment of $25 or more using </w:t>
      </w:r>
      <w:r w:rsidR="00F93B54" w:rsidRPr="00902689">
        <w:rPr>
          <w:sz w:val="24"/>
          <w:szCs w:val="24"/>
        </w:rPr>
        <w:t xml:space="preserve">CRS, the Treasury Department’s </w:t>
      </w:r>
      <w:hyperlink r:id="rId9" w:history="1">
        <w:r w:rsidR="00F93B54" w:rsidRPr="000233D3">
          <w:rPr>
            <w:rStyle w:val="Hyperlink"/>
            <w:sz w:val="24"/>
            <w:szCs w:val="24"/>
          </w:rPr>
          <w:t>electronic bill pay system</w:t>
        </w:r>
      </w:hyperlink>
      <w:r w:rsidR="00F93B54" w:rsidRPr="00902689">
        <w:rPr>
          <w:sz w:val="24"/>
          <w:szCs w:val="24"/>
        </w:rPr>
        <w:t xml:space="preserve">. </w:t>
      </w:r>
      <w:r w:rsidR="00EB6E07">
        <w:rPr>
          <w:sz w:val="24"/>
          <w:szCs w:val="24"/>
        </w:rPr>
        <w:t xml:space="preserve">Payments can be made </w:t>
      </w:r>
      <w:r w:rsidR="00EB6E07" w:rsidRPr="00902689">
        <w:rPr>
          <w:sz w:val="24"/>
          <w:szCs w:val="24"/>
        </w:rPr>
        <w:t>using</w:t>
      </w:r>
      <w:r w:rsidR="007F32E1">
        <w:rPr>
          <w:sz w:val="24"/>
          <w:szCs w:val="24"/>
        </w:rPr>
        <w:t xml:space="preserve"> a</w:t>
      </w:r>
      <w:r w:rsidR="00EB6E07" w:rsidRPr="00902689">
        <w:rPr>
          <w:sz w:val="24"/>
          <w:szCs w:val="24"/>
        </w:rPr>
        <w:t xml:space="preserve"> </w:t>
      </w:r>
      <w:r w:rsidR="00EB6E07">
        <w:rPr>
          <w:sz w:val="24"/>
          <w:szCs w:val="24"/>
        </w:rPr>
        <w:t>checking or savings account via</w:t>
      </w:r>
      <w:r w:rsidR="00EB6E07" w:rsidRPr="00902689">
        <w:rPr>
          <w:sz w:val="24"/>
          <w:szCs w:val="24"/>
        </w:rPr>
        <w:t xml:space="preserve"> ACH Debit or Credit,</w:t>
      </w:r>
      <w:r w:rsidR="00960A65">
        <w:rPr>
          <w:sz w:val="24"/>
          <w:szCs w:val="24"/>
        </w:rPr>
        <w:t xml:space="preserve"> </w:t>
      </w:r>
      <w:r w:rsidR="00960A65" w:rsidRPr="00902689">
        <w:rPr>
          <w:sz w:val="24"/>
          <w:szCs w:val="24"/>
        </w:rPr>
        <w:t>credit or debit ca</w:t>
      </w:r>
      <w:r w:rsidR="00960A65">
        <w:rPr>
          <w:sz w:val="24"/>
          <w:szCs w:val="24"/>
        </w:rPr>
        <w:t xml:space="preserve">rd, </w:t>
      </w:r>
      <w:r w:rsidR="00EB6E07" w:rsidRPr="00902689">
        <w:rPr>
          <w:sz w:val="24"/>
          <w:szCs w:val="24"/>
        </w:rPr>
        <w:t xml:space="preserve">PayPal, </w:t>
      </w:r>
      <w:proofErr w:type="spellStart"/>
      <w:r w:rsidR="00EB6E07" w:rsidRPr="00902689">
        <w:rPr>
          <w:sz w:val="24"/>
          <w:szCs w:val="24"/>
        </w:rPr>
        <w:t>Dwolla</w:t>
      </w:r>
      <w:proofErr w:type="spellEnd"/>
      <w:r w:rsidR="00EB6E07">
        <w:rPr>
          <w:sz w:val="24"/>
          <w:szCs w:val="24"/>
        </w:rPr>
        <w:t>,</w:t>
      </w:r>
      <w:r w:rsidR="00EB6E07" w:rsidRPr="00902689">
        <w:rPr>
          <w:sz w:val="24"/>
          <w:szCs w:val="24"/>
        </w:rPr>
        <w:t xml:space="preserve"> or </w:t>
      </w:r>
      <w:proofErr w:type="spellStart"/>
      <w:r w:rsidR="00EB6E07" w:rsidRPr="00902689">
        <w:rPr>
          <w:sz w:val="24"/>
          <w:szCs w:val="24"/>
        </w:rPr>
        <w:t>FedWire</w:t>
      </w:r>
      <w:proofErr w:type="spellEnd"/>
      <w:r w:rsidR="00EB6E07" w:rsidRPr="00902689">
        <w:rPr>
          <w:sz w:val="24"/>
          <w:szCs w:val="24"/>
        </w:rPr>
        <w:t>.</w:t>
      </w:r>
    </w:p>
    <w:p w:rsidR="00F93B54" w:rsidRDefault="007263FE" w:rsidP="007C3C23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044A92">
        <w:rPr>
          <w:sz w:val="24"/>
          <w:szCs w:val="24"/>
        </w:rPr>
        <w:t xml:space="preserve">icensees will continue to report their quarterly sales through </w:t>
      </w:r>
      <w:hyperlink r:id="rId10" w:history="1">
        <w:r w:rsidR="00044A92" w:rsidRPr="00044A92">
          <w:rPr>
            <w:rStyle w:val="Hyperlink"/>
            <w:sz w:val="24"/>
            <w:szCs w:val="24"/>
          </w:rPr>
          <w:t>Trademarx Online</w:t>
        </w:r>
      </w:hyperlink>
      <w:r w:rsidR="00EB6E07">
        <w:rPr>
          <w:sz w:val="24"/>
          <w:szCs w:val="24"/>
        </w:rPr>
        <w:t xml:space="preserve"> within 30 days from the end of the calendar quarter and click the “close/submit” button. Licensees owing $25 or more in royalties should expect to receive an e-bill from </w:t>
      </w:r>
      <w:r w:rsidR="00CB3B70">
        <w:rPr>
          <w:sz w:val="24"/>
          <w:szCs w:val="24"/>
        </w:rPr>
        <w:t>the Centralized Receivables Service</w:t>
      </w:r>
      <w:r w:rsidR="00EB6E07">
        <w:rPr>
          <w:sz w:val="24"/>
          <w:szCs w:val="24"/>
        </w:rPr>
        <w:t xml:space="preserve"> within 45 days </w:t>
      </w:r>
      <w:r w:rsidR="007F32E1">
        <w:rPr>
          <w:sz w:val="24"/>
          <w:szCs w:val="24"/>
        </w:rPr>
        <w:t>after</w:t>
      </w:r>
      <w:r w:rsidR="00EB6E07">
        <w:rPr>
          <w:sz w:val="24"/>
          <w:szCs w:val="24"/>
        </w:rPr>
        <w:t xml:space="preserve"> the end of the calendar quarter. The e-bill will include payment instructions.</w:t>
      </w:r>
    </w:p>
    <w:p w:rsidR="00EB6E07" w:rsidRPr="00902689" w:rsidRDefault="00EB6E07" w:rsidP="007C3C23">
      <w:pPr>
        <w:rPr>
          <w:sz w:val="24"/>
          <w:szCs w:val="24"/>
        </w:rPr>
      </w:pPr>
      <w:r>
        <w:rPr>
          <w:sz w:val="24"/>
          <w:szCs w:val="24"/>
        </w:rPr>
        <w:t xml:space="preserve">Those owing less than $25 should </w:t>
      </w:r>
      <w:r w:rsidR="007F32E1">
        <w:rPr>
          <w:sz w:val="24"/>
          <w:szCs w:val="24"/>
        </w:rPr>
        <w:t>mail</w:t>
      </w:r>
      <w:r>
        <w:rPr>
          <w:sz w:val="24"/>
          <w:szCs w:val="24"/>
        </w:rPr>
        <w:t xml:space="preserve"> in their payment via check or cashier’s check</w:t>
      </w:r>
      <w:r w:rsidR="007F32E1">
        <w:rPr>
          <w:sz w:val="24"/>
          <w:szCs w:val="24"/>
        </w:rPr>
        <w:t>. Payments must be postmarked within 45 days after the end of the calendar quarter to avoid a late fee</w:t>
      </w:r>
      <w:r>
        <w:rPr>
          <w:sz w:val="24"/>
          <w:szCs w:val="24"/>
        </w:rPr>
        <w:t xml:space="preserve">. The mailing address can be found on our website – </w:t>
      </w:r>
      <w:hyperlink r:id="rId11" w:history="1">
        <w:r w:rsidRPr="00D07FF7">
          <w:rPr>
            <w:rStyle w:val="Hyperlink"/>
            <w:sz w:val="24"/>
            <w:szCs w:val="24"/>
          </w:rPr>
          <w:t>www.trademark.af.mil</w:t>
        </w:r>
      </w:hyperlink>
      <w:r>
        <w:rPr>
          <w:sz w:val="24"/>
          <w:szCs w:val="24"/>
        </w:rPr>
        <w:t xml:space="preserve">. </w:t>
      </w:r>
      <w:r w:rsidR="00EA558B">
        <w:rPr>
          <w:sz w:val="24"/>
          <w:szCs w:val="24"/>
        </w:rPr>
        <w:t>D</w:t>
      </w:r>
      <w:r w:rsidR="00BF1ACD">
        <w:rPr>
          <w:sz w:val="24"/>
          <w:szCs w:val="24"/>
        </w:rPr>
        <w:t>o NOT mail any payments directly to CRS.</w:t>
      </w:r>
    </w:p>
    <w:p w:rsidR="00F93B54" w:rsidRPr="002555A7" w:rsidRDefault="00F93B54" w:rsidP="00F93B54">
      <w:pPr>
        <w:rPr>
          <w:sz w:val="24"/>
          <w:szCs w:val="24"/>
        </w:rPr>
      </w:pPr>
      <w:r w:rsidRPr="00902689">
        <w:rPr>
          <w:sz w:val="24"/>
          <w:szCs w:val="24"/>
        </w:rPr>
        <w:t xml:space="preserve">If your accounting department is prohibited from making electronic </w:t>
      </w:r>
      <w:r w:rsidR="00044A92">
        <w:rPr>
          <w:sz w:val="24"/>
          <w:szCs w:val="24"/>
        </w:rPr>
        <w:t>payments</w:t>
      </w:r>
      <w:r w:rsidRPr="002555A7">
        <w:rPr>
          <w:sz w:val="24"/>
          <w:szCs w:val="24"/>
        </w:rPr>
        <w:t xml:space="preserve">, notify our office at </w:t>
      </w:r>
      <w:hyperlink r:id="rId12" w:history="1">
        <w:r w:rsidRPr="002555A7">
          <w:rPr>
            <w:rStyle w:val="Hyperlink"/>
            <w:sz w:val="24"/>
            <w:szCs w:val="24"/>
          </w:rPr>
          <w:t>licensing@us.af.mil</w:t>
        </w:r>
      </w:hyperlink>
      <w:r w:rsidRPr="002555A7">
        <w:rPr>
          <w:sz w:val="24"/>
          <w:szCs w:val="24"/>
        </w:rPr>
        <w:t>.</w:t>
      </w:r>
    </w:p>
    <w:p w:rsidR="002555A7" w:rsidRDefault="002555A7" w:rsidP="002555A7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555A7">
        <w:rPr>
          <w:sz w:val="24"/>
          <w:szCs w:val="24"/>
        </w:rPr>
        <w:t>Direct all questi</w:t>
      </w:r>
      <w:r w:rsidR="000233D3">
        <w:rPr>
          <w:sz w:val="24"/>
          <w:szCs w:val="24"/>
        </w:rPr>
        <w:t>ons on how to make a payment through</w:t>
      </w:r>
      <w:r w:rsidRPr="002555A7">
        <w:rPr>
          <w:sz w:val="24"/>
          <w:szCs w:val="24"/>
        </w:rPr>
        <w:t xml:space="preserve"> CRS to their helpdesk</w:t>
      </w:r>
      <w:r>
        <w:rPr>
          <w:sz w:val="24"/>
          <w:szCs w:val="24"/>
        </w:rPr>
        <w:t xml:space="preserve"> -</w:t>
      </w:r>
      <w:r w:rsidRPr="002555A7">
        <w:rPr>
          <w:sz w:val="24"/>
          <w:szCs w:val="24"/>
        </w:rPr>
        <w:t xml:space="preserve"> </w:t>
      </w:r>
      <w:r w:rsidRPr="002555A7">
        <w:rPr>
          <w:rFonts w:cs="Tahoma"/>
          <w:sz w:val="24"/>
          <w:szCs w:val="24"/>
        </w:rPr>
        <w:t>1-855-649-1181</w:t>
      </w:r>
      <w:r>
        <w:rPr>
          <w:rFonts w:cs="Tahoma"/>
          <w:sz w:val="24"/>
          <w:szCs w:val="24"/>
        </w:rPr>
        <w:t xml:space="preserve"> - between the hours of 7 a.m. and 7 p.m.</w:t>
      </w:r>
      <w:r w:rsidRPr="002555A7">
        <w:rPr>
          <w:rFonts w:cs="Tahoma"/>
          <w:sz w:val="24"/>
          <w:szCs w:val="24"/>
        </w:rPr>
        <w:t>, Central Time, Mo</w:t>
      </w:r>
      <w:r>
        <w:rPr>
          <w:rFonts w:cs="Tahoma"/>
          <w:sz w:val="24"/>
          <w:szCs w:val="24"/>
        </w:rPr>
        <w:t>nday through Friday, excluding h</w:t>
      </w:r>
      <w:r w:rsidRPr="002555A7">
        <w:rPr>
          <w:rFonts w:cs="Tahoma"/>
          <w:sz w:val="24"/>
          <w:szCs w:val="24"/>
        </w:rPr>
        <w:t>olidays.</w:t>
      </w:r>
    </w:p>
    <w:p w:rsidR="00EA558B" w:rsidRPr="003F559D" w:rsidRDefault="00EA558B" w:rsidP="00EA558B">
      <w:pPr>
        <w:pStyle w:val="Heading1"/>
        <w15:collapsed/>
        <w:rPr>
          <w:b/>
        </w:rPr>
      </w:pPr>
      <w:r>
        <w:rPr>
          <w:b/>
        </w:rPr>
        <w:t>Happy Birthday Air Force!</w:t>
      </w:r>
    </w:p>
    <w:p w:rsidR="00EA558B" w:rsidRPr="002555A7" w:rsidRDefault="00EA558B" w:rsidP="00EA558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8542C">
        <w:rPr>
          <w:sz w:val="24"/>
          <w:szCs w:val="24"/>
        </w:rPr>
        <w:t>he USAF</w:t>
      </w:r>
      <w:r>
        <w:rPr>
          <w:sz w:val="24"/>
          <w:szCs w:val="24"/>
        </w:rPr>
        <w:t xml:space="preserve"> turns 70 years old in 2017. That’s 70 years of providing superior air, space, and cyberspace security in defense of our Nation. We encourage licensees to develop</w:t>
      </w:r>
      <w:r w:rsidR="0038542C">
        <w:rPr>
          <w:sz w:val="24"/>
          <w:szCs w:val="24"/>
        </w:rPr>
        <w:t xml:space="preserve"> and submit for approval</w:t>
      </w:r>
      <w:r>
        <w:rPr>
          <w:sz w:val="24"/>
          <w:szCs w:val="24"/>
        </w:rPr>
        <w:t xml:space="preserve"> commemorative merchandise to celebrate this milestone. Turning 70 ha</w:t>
      </w:r>
      <w:r w:rsidR="00C47852">
        <w:rPr>
          <w:sz w:val="24"/>
          <w:szCs w:val="24"/>
        </w:rPr>
        <w:t>s never looked better.</w:t>
      </w:r>
    </w:p>
    <w:p w:rsidR="00F93B54" w:rsidRPr="003F559D" w:rsidRDefault="00BD63CF" w:rsidP="00683BD4">
      <w:pPr>
        <w:pStyle w:val="Heading1"/>
        <w15:collapsed/>
        <w:rPr>
          <w:b/>
        </w:rPr>
      </w:pPr>
      <w:r>
        <w:rPr>
          <w:b/>
        </w:rPr>
        <w:t>Annual business plans due Jan. 30, 2017</w:t>
      </w:r>
    </w:p>
    <w:p w:rsidR="00461190" w:rsidRDefault="00BD63CF" w:rsidP="00F93B54">
      <w:pPr>
        <w:rPr>
          <w:sz w:val="24"/>
          <w:szCs w:val="24"/>
        </w:rPr>
      </w:pPr>
      <w:r>
        <w:rPr>
          <w:sz w:val="24"/>
          <w:szCs w:val="24"/>
        </w:rPr>
        <w:t xml:space="preserve">In accordance with Section 3.11 of the standard license agreement, licensees are required to submit an annual business plan that outlines how they will </w:t>
      </w:r>
      <w:r w:rsidR="00461190">
        <w:rPr>
          <w:sz w:val="24"/>
          <w:szCs w:val="24"/>
        </w:rPr>
        <w:t>grow their</w:t>
      </w:r>
      <w:r w:rsidR="00CC6E1C">
        <w:rPr>
          <w:sz w:val="24"/>
          <w:szCs w:val="24"/>
        </w:rPr>
        <w:t xml:space="preserve"> Air Force business</w:t>
      </w:r>
      <w:r>
        <w:rPr>
          <w:sz w:val="24"/>
          <w:szCs w:val="24"/>
        </w:rPr>
        <w:t xml:space="preserve"> in the upcoming year</w:t>
      </w:r>
      <w:r w:rsidR="00FE1461">
        <w:rPr>
          <w:sz w:val="24"/>
          <w:szCs w:val="24"/>
        </w:rPr>
        <w:t>.</w:t>
      </w:r>
      <w:r w:rsidR="00461190">
        <w:rPr>
          <w:sz w:val="24"/>
          <w:szCs w:val="24"/>
        </w:rPr>
        <w:t xml:space="preserve"> </w:t>
      </w:r>
      <w:r w:rsidR="00CC6E1C">
        <w:rPr>
          <w:sz w:val="24"/>
          <w:szCs w:val="24"/>
        </w:rPr>
        <w:t>It’s also where licensees can</w:t>
      </w:r>
      <w:r w:rsidR="00FE1461" w:rsidRPr="00FE1461">
        <w:rPr>
          <w:sz w:val="24"/>
          <w:szCs w:val="24"/>
        </w:rPr>
        <w:t xml:space="preserve"> </w:t>
      </w:r>
      <w:r w:rsidR="00FE1461">
        <w:rPr>
          <w:sz w:val="24"/>
          <w:szCs w:val="24"/>
        </w:rPr>
        <w:t>provide feedback on their experience with our Brand and</w:t>
      </w:r>
      <w:r w:rsidR="00CC6E1C">
        <w:rPr>
          <w:sz w:val="24"/>
          <w:szCs w:val="24"/>
        </w:rPr>
        <w:t xml:space="preserve"> request the addition</w:t>
      </w:r>
      <w:r w:rsidR="00C47852">
        <w:rPr>
          <w:sz w:val="24"/>
          <w:szCs w:val="24"/>
        </w:rPr>
        <w:t>/</w:t>
      </w:r>
      <w:r w:rsidR="00CC6E1C">
        <w:rPr>
          <w:sz w:val="24"/>
          <w:szCs w:val="24"/>
        </w:rPr>
        <w:t>removal of distribution channels, product categories, and manufacturers.</w:t>
      </w:r>
    </w:p>
    <w:p w:rsidR="00F93B54" w:rsidRDefault="00BD63CF" w:rsidP="00F93B54">
      <w:pPr>
        <w:rPr>
          <w:sz w:val="24"/>
          <w:szCs w:val="24"/>
        </w:rPr>
      </w:pPr>
      <w:r>
        <w:rPr>
          <w:sz w:val="24"/>
          <w:szCs w:val="24"/>
        </w:rPr>
        <w:t>For your</w:t>
      </w:r>
      <w:r w:rsidR="00C47852">
        <w:rPr>
          <w:sz w:val="24"/>
          <w:szCs w:val="24"/>
        </w:rPr>
        <w:t xml:space="preserve"> convenience we have provided an</w:t>
      </w:r>
      <w:r>
        <w:rPr>
          <w:sz w:val="24"/>
          <w:szCs w:val="24"/>
        </w:rPr>
        <w:t xml:space="preserve"> outline </w:t>
      </w:r>
      <w:r w:rsidR="00461190">
        <w:rPr>
          <w:sz w:val="24"/>
          <w:szCs w:val="24"/>
        </w:rPr>
        <w:t xml:space="preserve">for the business plan at </w:t>
      </w:r>
      <w:hyperlink r:id="rId13" w:history="1">
        <w:r w:rsidR="00461190" w:rsidRPr="008B1353">
          <w:rPr>
            <w:rStyle w:val="Hyperlink"/>
            <w:sz w:val="24"/>
            <w:szCs w:val="24"/>
          </w:rPr>
          <w:t>http://www.trademark.af.mil/Resources/DocumentLibrary.aspx</w:t>
        </w:r>
      </w:hyperlink>
    </w:p>
    <w:p w:rsidR="00BF1ACD" w:rsidRDefault="00BF1ACD" w:rsidP="00F93B54">
      <w:pPr>
        <w:rPr>
          <w:sz w:val="24"/>
          <w:szCs w:val="24"/>
        </w:rPr>
      </w:pPr>
      <w:r>
        <w:rPr>
          <w:sz w:val="24"/>
          <w:szCs w:val="24"/>
        </w:rPr>
        <w:t>Business plans may be emailed or mailed to our office.</w:t>
      </w:r>
    </w:p>
    <w:p w:rsidR="00461190" w:rsidRDefault="00461190" w:rsidP="00F93B54">
      <w:pPr>
        <w:rPr>
          <w:sz w:val="24"/>
          <w:szCs w:val="24"/>
        </w:rPr>
      </w:pPr>
      <w:r>
        <w:rPr>
          <w:sz w:val="24"/>
          <w:szCs w:val="24"/>
        </w:rPr>
        <w:t xml:space="preserve">Licensees </w:t>
      </w:r>
      <w:r w:rsidR="00FE1461">
        <w:rPr>
          <w:sz w:val="24"/>
          <w:szCs w:val="24"/>
        </w:rPr>
        <w:t xml:space="preserve">whose most recent license was signed by our office on or after </w:t>
      </w:r>
      <w:r>
        <w:rPr>
          <w:sz w:val="24"/>
          <w:szCs w:val="24"/>
        </w:rPr>
        <w:t>1 Jul</w:t>
      </w:r>
      <w:r w:rsidR="00DF090B">
        <w:rPr>
          <w:sz w:val="24"/>
          <w:szCs w:val="24"/>
        </w:rPr>
        <w:t>y 2016 will not need to submit their next annual</w:t>
      </w:r>
      <w:r>
        <w:rPr>
          <w:sz w:val="24"/>
          <w:szCs w:val="24"/>
        </w:rPr>
        <w:t xml:space="preserve"> business plan until 2018.</w:t>
      </w:r>
    </w:p>
    <w:p w:rsidR="00F93B54" w:rsidRPr="003F559D" w:rsidRDefault="00BC5F23" w:rsidP="00683BD4">
      <w:pPr>
        <w:pStyle w:val="Heading1"/>
        <w15:collapsed/>
        <w:rPr>
          <w:b/>
        </w:rPr>
      </w:pPr>
      <w:r w:rsidRPr="003F559D">
        <w:rPr>
          <w:b/>
        </w:rPr>
        <w:t>Trouble resetting your Trademarx Online password?</w:t>
      </w:r>
    </w:p>
    <w:p w:rsidR="00F93B54" w:rsidRDefault="00F93B54" w:rsidP="00F93B54">
      <w:pPr>
        <w:rPr>
          <w:sz w:val="24"/>
          <w:szCs w:val="24"/>
        </w:rPr>
      </w:pPr>
      <w:r>
        <w:rPr>
          <w:sz w:val="24"/>
          <w:szCs w:val="24"/>
        </w:rPr>
        <w:t>If you have attempted to reset you</w:t>
      </w:r>
      <w:r w:rsidR="0008598E">
        <w:rPr>
          <w:sz w:val="24"/>
          <w:szCs w:val="24"/>
        </w:rPr>
        <w:t xml:space="preserve">r password in </w:t>
      </w:r>
      <w:hyperlink r:id="rId14" w:history="1">
        <w:r w:rsidR="0008598E" w:rsidRPr="00D25944">
          <w:rPr>
            <w:rStyle w:val="Hyperlink"/>
            <w:sz w:val="24"/>
            <w:szCs w:val="24"/>
          </w:rPr>
          <w:t>Trademarx Online</w:t>
        </w:r>
      </w:hyperlink>
      <w:r>
        <w:rPr>
          <w:sz w:val="24"/>
          <w:szCs w:val="24"/>
        </w:rPr>
        <w:t xml:space="preserve"> but did not receive an email with reset instructions, you </w:t>
      </w:r>
      <w:r w:rsidR="00BC5F23">
        <w:rPr>
          <w:sz w:val="24"/>
          <w:szCs w:val="24"/>
        </w:rPr>
        <w:t>may have</w:t>
      </w:r>
      <w:r>
        <w:rPr>
          <w:sz w:val="24"/>
          <w:szCs w:val="24"/>
        </w:rPr>
        <w:t xml:space="preserve"> entered a user name that is no longer active in the system. Please ensure you are using the most recent email address. This </w:t>
      </w:r>
      <w:r w:rsidR="00BF1ACD">
        <w:rPr>
          <w:sz w:val="24"/>
          <w:szCs w:val="24"/>
        </w:rPr>
        <w:t>should</w:t>
      </w:r>
      <w:r>
        <w:rPr>
          <w:sz w:val="24"/>
          <w:szCs w:val="24"/>
        </w:rPr>
        <w:t xml:space="preserve"> be the departmental</w:t>
      </w:r>
      <w:r w:rsidR="00BF1ACD">
        <w:rPr>
          <w:sz w:val="24"/>
          <w:szCs w:val="24"/>
        </w:rPr>
        <w:t>/organizational</w:t>
      </w:r>
      <w:r>
        <w:rPr>
          <w:sz w:val="24"/>
          <w:szCs w:val="24"/>
        </w:rPr>
        <w:t xml:space="preserve"> email address for your company. </w:t>
      </w:r>
    </w:p>
    <w:p w:rsidR="00F93B54" w:rsidRDefault="00D951C6" w:rsidP="00F93B54">
      <w:pPr>
        <w:rPr>
          <w:sz w:val="24"/>
          <w:szCs w:val="24"/>
        </w:rPr>
      </w:pPr>
      <w:r>
        <w:rPr>
          <w:sz w:val="24"/>
          <w:szCs w:val="24"/>
        </w:rPr>
        <w:t>Once</w:t>
      </w:r>
      <w:r w:rsidR="000233D3">
        <w:rPr>
          <w:sz w:val="24"/>
          <w:szCs w:val="24"/>
        </w:rPr>
        <w:t xml:space="preserve"> you reset your password,</w:t>
      </w:r>
      <w:r w:rsidR="00F93B54">
        <w:rPr>
          <w:sz w:val="24"/>
          <w:szCs w:val="24"/>
        </w:rPr>
        <w:t xml:space="preserve"> </w:t>
      </w:r>
      <w:r w:rsidR="00BF1ACD">
        <w:rPr>
          <w:sz w:val="24"/>
          <w:szCs w:val="24"/>
        </w:rPr>
        <w:t xml:space="preserve">communicate </w:t>
      </w:r>
      <w:r w:rsidR="00F93B54">
        <w:rPr>
          <w:sz w:val="24"/>
          <w:szCs w:val="24"/>
        </w:rPr>
        <w:t>the password with</w:t>
      </w:r>
      <w:r w:rsidR="000233D3">
        <w:rPr>
          <w:sz w:val="24"/>
          <w:szCs w:val="24"/>
        </w:rPr>
        <w:t xml:space="preserve"> the</w:t>
      </w:r>
      <w:r w:rsidR="00F93B54">
        <w:rPr>
          <w:sz w:val="24"/>
          <w:szCs w:val="24"/>
        </w:rPr>
        <w:t xml:space="preserve"> other </w:t>
      </w:r>
      <w:hyperlink r:id="rId15" w:history="1">
        <w:r w:rsidR="00F93B54" w:rsidRPr="00D25944">
          <w:rPr>
            <w:rStyle w:val="Hyperlink"/>
            <w:sz w:val="24"/>
            <w:szCs w:val="24"/>
          </w:rPr>
          <w:t xml:space="preserve">Trademarx Online </w:t>
        </w:r>
      </w:hyperlink>
      <w:r w:rsidR="00F93B54">
        <w:rPr>
          <w:sz w:val="24"/>
          <w:szCs w:val="24"/>
        </w:rPr>
        <w:t>users in your company</w:t>
      </w:r>
      <w:r>
        <w:rPr>
          <w:sz w:val="24"/>
          <w:szCs w:val="24"/>
        </w:rPr>
        <w:t xml:space="preserve"> – generally the accounting department, sales department, and art department</w:t>
      </w:r>
      <w:r w:rsidR="00F93B54">
        <w:rPr>
          <w:sz w:val="24"/>
          <w:szCs w:val="24"/>
        </w:rPr>
        <w:t>.</w:t>
      </w:r>
    </w:p>
    <w:p w:rsidR="00F93B54" w:rsidRPr="003F559D" w:rsidRDefault="00346890" w:rsidP="00683BD4">
      <w:pPr>
        <w:pStyle w:val="Heading1"/>
        <w15:collapsed/>
        <w:rPr>
          <w:b/>
        </w:rPr>
      </w:pPr>
      <w:r>
        <w:rPr>
          <w:b/>
        </w:rPr>
        <w:t>Updating</w:t>
      </w:r>
      <w:r w:rsidR="00F93B54" w:rsidRPr="003F559D">
        <w:rPr>
          <w:b/>
        </w:rPr>
        <w:t xml:space="preserve"> </w:t>
      </w:r>
      <w:r>
        <w:rPr>
          <w:b/>
        </w:rPr>
        <w:t>email addresses</w:t>
      </w:r>
      <w:r w:rsidR="00F93B54" w:rsidRPr="003F559D">
        <w:rPr>
          <w:b/>
        </w:rPr>
        <w:t xml:space="preserve"> </w:t>
      </w:r>
      <w:r>
        <w:rPr>
          <w:b/>
        </w:rPr>
        <w:t>in</w:t>
      </w:r>
      <w:r w:rsidR="00F93B54" w:rsidRPr="003F559D">
        <w:rPr>
          <w:b/>
        </w:rPr>
        <w:t xml:space="preserve"> profiles</w:t>
      </w:r>
    </w:p>
    <w:p w:rsidR="00F93B54" w:rsidRDefault="00F93B54" w:rsidP="00F93B5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Our office is still updating licensee profiles with </w:t>
      </w:r>
      <w:r w:rsidR="00BF1ACD">
        <w:rPr>
          <w:sz w:val="24"/>
          <w:szCs w:val="24"/>
        </w:rPr>
        <w:t>departmental/organizational</w:t>
      </w:r>
      <w:r>
        <w:rPr>
          <w:sz w:val="24"/>
          <w:szCs w:val="24"/>
        </w:rPr>
        <w:t xml:space="preserve"> email </w:t>
      </w:r>
      <w:proofErr w:type="gramStart"/>
      <w:r>
        <w:rPr>
          <w:sz w:val="24"/>
          <w:szCs w:val="24"/>
        </w:rPr>
        <w:t>address</w:t>
      </w:r>
      <w:r w:rsidR="00E005D6">
        <w:rPr>
          <w:sz w:val="24"/>
          <w:szCs w:val="24"/>
        </w:rPr>
        <w:t>(</w:t>
      </w:r>
      <w:proofErr w:type="spellStart"/>
      <w:proofErr w:type="gramEnd"/>
      <w:r w:rsidR="00E005D6">
        <w:rPr>
          <w:sz w:val="24"/>
          <w:szCs w:val="24"/>
        </w:rPr>
        <w:t>es</w:t>
      </w:r>
      <w:proofErr w:type="spellEnd"/>
      <w:r w:rsidR="00E005D6">
        <w:rPr>
          <w:sz w:val="24"/>
          <w:szCs w:val="24"/>
        </w:rPr>
        <w:t>)</w:t>
      </w:r>
      <w:r>
        <w:rPr>
          <w:sz w:val="24"/>
          <w:szCs w:val="24"/>
        </w:rPr>
        <w:t xml:space="preserve">. In the </w:t>
      </w:r>
      <w:proofErr w:type="gramStart"/>
      <w:r w:rsidR="009452D3">
        <w:rPr>
          <w:sz w:val="24"/>
          <w:szCs w:val="24"/>
        </w:rPr>
        <w:t>Spring</w:t>
      </w:r>
      <w:proofErr w:type="gramEnd"/>
      <w:r w:rsidR="00B446AE">
        <w:rPr>
          <w:sz w:val="24"/>
          <w:szCs w:val="24"/>
        </w:rPr>
        <w:t>,</w:t>
      </w:r>
      <w:r w:rsidR="009452D3">
        <w:rPr>
          <w:sz w:val="24"/>
          <w:szCs w:val="24"/>
        </w:rPr>
        <w:t xml:space="preserve"> Summer</w:t>
      </w:r>
      <w:r w:rsidR="00B446AE">
        <w:rPr>
          <w:sz w:val="24"/>
          <w:szCs w:val="24"/>
        </w:rPr>
        <w:t xml:space="preserve"> and Fall</w:t>
      </w:r>
      <w:r>
        <w:rPr>
          <w:sz w:val="24"/>
          <w:szCs w:val="24"/>
        </w:rPr>
        <w:t xml:space="preserve"> issues of “TM Connect” we advised of the need for these monitored email accounts. The departmental email address will be used to access </w:t>
      </w:r>
      <w:hyperlink r:id="rId16" w:history="1">
        <w:r w:rsidRPr="00D25944">
          <w:rPr>
            <w:rStyle w:val="Hyperlink"/>
            <w:sz w:val="24"/>
            <w:szCs w:val="24"/>
          </w:rPr>
          <w:t xml:space="preserve">Trademarx </w:t>
        </w:r>
        <w:proofErr w:type="spellStart"/>
        <w:r w:rsidRPr="00D25944">
          <w:rPr>
            <w:rStyle w:val="Hyperlink"/>
            <w:sz w:val="24"/>
            <w:szCs w:val="24"/>
          </w:rPr>
          <w:t>Online’s</w:t>
        </w:r>
        <w:proofErr w:type="spellEnd"/>
      </w:hyperlink>
      <w:r>
        <w:rPr>
          <w:sz w:val="24"/>
          <w:szCs w:val="24"/>
        </w:rPr>
        <w:t xml:space="preserve"> systems, to receive e-bills from the Treasury Department’s CRS system, and to ensure continuous receipt of communication regardless of personnel</w:t>
      </w:r>
      <w:r w:rsidR="009452D3">
        <w:rPr>
          <w:sz w:val="24"/>
          <w:szCs w:val="24"/>
        </w:rPr>
        <w:t xml:space="preserve"> changes</w:t>
      </w:r>
      <w:r>
        <w:rPr>
          <w:sz w:val="24"/>
          <w:szCs w:val="24"/>
        </w:rPr>
        <w:t xml:space="preserve">. </w:t>
      </w:r>
    </w:p>
    <w:p w:rsidR="0079734D" w:rsidRDefault="00F93B54" w:rsidP="00F93B5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If you have not yet provided a departmental email address, please do so immediately. We will begin deactivating personal email accounts in </w:t>
      </w:r>
      <w:hyperlink r:id="rId17" w:history="1">
        <w:r w:rsidRPr="00D25944">
          <w:rPr>
            <w:rStyle w:val="Hyperlink"/>
            <w:sz w:val="24"/>
            <w:szCs w:val="24"/>
          </w:rPr>
          <w:t>Trademarx Online</w:t>
        </w:r>
      </w:hyperlink>
      <w:r>
        <w:rPr>
          <w:sz w:val="24"/>
          <w:szCs w:val="24"/>
        </w:rPr>
        <w:t xml:space="preserve"> in early 2017.</w:t>
      </w:r>
    </w:p>
    <w:p w:rsidR="00D8596A" w:rsidRPr="003F559D" w:rsidRDefault="001E2057" w:rsidP="00683BD4">
      <w:pPr>
        <w:pStyle w:val="Heading1"/>
        <w15:collapsed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74FCA7" wp14:editId="1A0D84C9">
                <wp:simplePos x="0" y="0"/>
                <wp:positionH relativeFrom="page">
                  <wp:posOffset>4184015</wp:posOffset>
                </wp:positionH>
                <wp:positionV relativeFrom="paragraph">
                  <wp:posOffset>27305</wp:posOffset>
                </wp:positionV>
                <wp:extent cx="3429000" cy="2231136"/>
                <wp:effectExtent l="38100" t="19050" r="19050" b="36195"/>
                <wp:wrapTight wrapText="bothSides">
                  <wp:wrapPolygon edited="0">
                    <wp:start x="14400" y="-184"/>
                    <wp:lineTo x="9120" y="0"/>
                    <wp:lineTo x="9120" y="2951"/>
                    <wp:lineTo x="4200" y="2951"/>
                    <wp:lineTo x="4200" y="4427"/>
                    <wp:lineTo x="4680" y="5903"/>
                    <wp:lineTo x="840" y="5903"/>
                    <wp:lineTo x="840" y="8485"/>
                    <wp:lineTo x="1320" y="8854"/>
                    <wp:lineTo x="2520" y="11805"/>
                    <wp:lineTo x="-240" y="11805"/>
                    <wp:lineTo x="-240" y="12912"/>
                    <wp:lineTo x="2040" y="14757"/>
                    <wp:lineTo x="1080" y="17339"/>
                    <wp:lineTo x="960" y="17892"/>
                    <wp:lineTo x="4560" y="20659"/>
                    <wp:lineTo x="4680" y="21766"/>
                    <wp:lineTo x="5280" y="21766"/>
                    <wp:lineTo x="6000" y="20659"/>
                    <wp:lineTo x="7800" y="20659"/>
                    <wp:lineTo x="12240" y="18630"/>
                    <wp:lineTo x="12120" y="17708"/>
                    <wp:lineTo x="14280" y="17708"/>
                    <wp:lineTo x="18840" y="15679"/>
                    <wp:lineTo x="18600" y="14757"/>
                    <wp:lineTo x="18000" y="11805"/>
                    <wp:lineTo x="18600" y="9407"/>
                    <wp:lineTo x="18480" y="8854"/>
                    <wp:lineTo x="21600" y="6640"/>
                    <wp:lineTo x="21480" y="6272"/>
                    <wp:lineTo x="17040" y="5903"/>
                    <wp:lineTo x="18360" y="3505"/>
                    <wp:lineTo x="18000" y="2951"/>
                    <wp:lineTo x="15000" y="2951"/>
                    <wp:lineTo x="15120" y="-184"/>
                    <wp:lineTo x="14400" y="-184"/>
                  </wp:wrapPolygon>
                </wp:wrapTight>
                <wp:docPr id="7" name="Explosio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31136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96A" w:rsidRPr="00EA558B" w:rsidRDefault="00DD7543" w:rsidP="00D8596A">
                            <w:pPr>
                              <w:jc w:val="center"/>
                            </w:pPr>
                            <w:r w:rsidRPr="00EA558B">
                              <w:t>Reported sales of Air Force-branded merchandise exceeded $</w:t>
                            </w:r>
                            <w:proofErr w:type="spellStart"/>
                            <w:r w:rsidRPr="00EA558B">
                              <w:t>16M</w:t>
                            </w:r>
                            <w:proofErr w:type="spellEnd"/>
                            <w:r w:rsidRPr="00EA558B">
                              <w:t xml:space="preserve"> in 2016.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4FCA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7" o:spid="_x0000_s1026" type="#_x0000_t72" style="position:absolute;margin-left:329.45pt;margin-top:2.15pt;width:270pt;height:175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" fillcolor="#5b9bd5 [3204]" strokecolor="#1f4d78 [1604]" strokeweight="1pt">
                <v:textbox>
                  <w:txbxContent>
                    <w:p w:rsidR="00D8596A" w:rsidRPr="00EA558B" w:rsidRDefault="00DD7543" w:rsidP="00D8596A">
                      <w:pPr>
                        <w:jc w:val="center"/>
                      </w:pPr>
                      <w:r w:rsidRPr="00EA558B">
                        <w:t>Reported sales of Air Force-branded merchandise exceeded $16M in 2016.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C4F81">
        <w:rPr>
          <w:b/>
        </w:rPr>
        <w:t>USAF adds new companies to the</w:t>
      </w:r>
      <w:r w:rsidR="00D8596A" w:rsidRPr="003F559D">
        <w:rPr>
          <w:b/>
        </w:rPr>
        <w:t xml:space="preserve"> licensing portfolio</w:t>
      </w:r>
    </w:p>
    <w:p w:rsidR="00D8596A" w:rsidRDefault="00D8596A" w:rsidP="00D8596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E64FF">
        <w:rPr>
          <w:sz w:val="24"/>
          <w:szCs w:val="24"/>
        </w:rPr>
        <w:t>Air Force</w:t>
      </w:r>
      <w:r>
        <w:rPr>
          <w:sz w:val="24"/>
          <w:szCs w:val="24"/>
        </w:rPr>
        <w:t xml:space="preserve"> Branding &amp; Trademark Licensing team would like to welcome the following companies into our licensing portfolio: </w:t>
      </w:r>
      <w:r w:rsidR="001E2057">
        <w:rPr>
          <w:sz w:val="24"/>
          <w:szCs w:val="24"/>
        </w:rPr>
        <w:t xml:space="preserve">Military Pride Gear, Just Write Laser Engraving, and </w:t>
      </w:r>
      <w:proofErr w:type="spellStart"/>
      <w:r w:rsidR="001E2057">
        <w:rPr>
          <w:sz w:val="24"/>
          <w:szCs w:val="24"/>
        </w:rPr>
        <w:t>4Heroes</w:t>
      </w:r>
      <w:proofErr w:type="spellEnd"/>
      <w:r w:rsidR="001E2057">
        <w:rPr>
          <w:sz w:val="24"/>
          <w:szCs w:val="24"/>
        </w:rPr>
        <w:t xml:space="preserve"> LLC</w:t>
      </w:r>
      <w:r>
        <w:rPr>
          <w:sz w:val="24"/>
          <w:szCs w:val="24"/>
        </w:rPr>
        <w:t>.</w:t>
      </w:r>
    </w:p>
    <w:p w:rsidR="00D8596A" w:rsidRDefault="00D8596A" w:rsidP="00D8596A">
      <w:pPr>
        <w:rPr>
          <w:sz w:val="24"/>
          <w:szCs w:val="24"/>
        </w:rPr>
      </w:pPr>
      <w:r>
        <w:rPr>
          <w:sz w:val="24"/>
          <w:szCs w:val="24"/>
        </w:rPr>
        <w:t>We want to also recogni</w:t>
      </w:r>
      <w:r w:rsidR="001E2057">
        <w:rPr>
          <w:sz w:val="24"/>
          <w:szCs w:val="24"/>
        </w:rPr>
        <w:t>ze the following renewed license</w:t>
      </w:r>
      <w:r>
        <w:rPr>
          <w:sz w:val="24"/>
          <w:szCs w:val="24"/>
        </w:rPr>
        <w:t xml:space="preserve">: </w:t>
      </w:r>
      <w:r w:rsidR="001E2057">
        <w:rPr>
          <w:sz w:val="24"/>
          <w:szCs w:val="24"/>
        </w:rPr>
        <w:t>Angel 7 Industries</w:t>
      </w:r>
      <w:r>
        <w:rPr>
          <w:sz w:val="24"/>
          <w:szCs w:val="24"/>
        </w:rPr>
        <w:t>.</w:t>
      </w:r>
      <w:r w:rsidRPr="00D8596A">
        <w:rPr>
          <w:b/>
          <w:noProof/>
        </w:rPr>
        <w:t xml:space="preserve"> </w:t>
      </w:r>
    </w:p>
    <w:p w:rsidR="00D8596A" w:rsidRDefault="00D8596A" w:rsidP="00D8596A">
      <w:pPr>
        <w:rPr>
          <w:sz w:val="24"/>
          <w:szCs w:val="24"/>
        </w:rPr>
      </w:pPr>
      <w:r>
        <w:rPr>
          <w:sz w:val="24"/>
          <w:szCs w:val="24"/>
        </w:rPr>
        <w:t xml:space="preserve">You can see the complete listing of current licensees </w:t>
      </w:r>
      <w:hyperlink r:id="rId18" w:history="1">
        <w:r w:rsidRPr="00AC37A6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:rsidR="00F93B54" w:rsidRPr="003F559D" w:rsidRDefault="00BF1ACD" w:rsidP="00683BD4">
      <w:pPr>
        <w:pStyle w:val="Heading1"/>
        <w15:collapsed/>
        <w:rPr>
          <w:b/>
        </w:rPr>
      </w:pPr>
      <w:r>
        <w:rPr>
          <w:b/>
        </w:rPr>
        <w:t>Know your license’s expiration date</w:t>
      </w:r>
    </w:p>
    <w:p w:rsidR="007A1982" w:rsidRDefault="00BF1ACD" w:rsidP="00F93B5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It is up to each licensee to know when your license is expiring and submit a renewal package.</w:t>
      </w:r>
      <w:r w:rsidR="007A1982">
        <w:rPr>
          <w:sz w:val="24"/>
          <w:szCs w:val="24"/>
        </w:rPr>
        <w:t xml:space="preserve"> The term of your license agreement can be found in your license’s Table of Exhibits.</w:t>
      </w:r>
      <w:r>
        <w:rPr>
          <w:sz w:val="24"/>
          <w:szCs w:val="24"/>
        </w:rPr>
        <w:t xml:space="preserve"> </w:t>
      </w:r>
    </w:p>
    <w:p w:rsidR="00EA558B" w:rsidRDefault="00F93B54" w:rsidP="00F93B5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To receive a renewal application you will need to complete a </w:t>
      </w:r>
      <w:hyperlink r:id="rId19" w:history="1">
        <w:r>
          <w:rPr>
            <w:rStyle w:val="Hyperlink"/>
            <w:sz w:val="24"/>
            <w:szCs w:val="24"/>
          </w:rPr>
          <w:t>License R</w:t>
        </w:r>
        <w:r w:rsidRPr="004D182C">
          <w:rPr>
            <w:rStyle w:val="Hyperlink"/>
            <w:sz w:val="24"/>
            <w:szCs w:val="24"/>
          </w:rPr>
          <w:t>enewal</w:t>
        </w:r>
        <w:r>
          <w:rPr>
            <w:rStyle w:val="Hyperlink"/>
            <w:sz w:val="24"/>
            <w:szCs w:val="24"/>
          </w:rPr>
          <w:t xml:space="preserve"> Application</w:t>
        </w:r>
        <w:r w:rsidRPr="004D182C">
          <w:rPr>
            <w:rStyle w:val="Hyperlink"/>
            <w:sz w:val="24"/>
            <w:szCs w:val="24"/>
          </w:rPr>
          <w:t xml:space="preserve"> Request</w:t>
        </w:r>
      </w:hyperlink>
      <w:r>
        <w:rPr>
          <w:sz w:val="24"/>
          <w:szCs w:val="24"/>
        </w:rPr>
        <w:t>.</w:t>
      </w:r>
      <w:r w:rsidR="00164B0F">
        <w:rPr>
          <w:sz w:val="24"/>
          <w:szCs w:val="24"/>
        </w:rPr>
        <w:t xml:space="preserve"> We highly</w:t>
      </w:r>
      <w:r>
        <w:rPr>
          <w:sz w:val="24"/>
          <w:szCs w:val="24"/>
        </w:rPr>
        <w:t xml:space="preserve"> recommend submitting this request</w:t>
      </w:r>
      <w:r w:rsidR="00EA558B">
        <w:rPr>
          <w:sz w:val="24"/>
          <w:szCs w:val="24"/>
        </w:rPr>
        <w:t xml:space="preserve"> and the subsequent package</w:t>
      </w:r>
      <w:r>
        <w:rPr>
          <w:sz w:val="24"/>
          <w:szCs w:val="24"/>
        </w:rPr>
        <w:t xml:space="preserve"> </w:t>
      </w:r>
      <w:r w:rsidRPr="00BF1ACD">
        <w:rPr>
          <w:b/>
          <w:sz w:val="24"/>
          <w:szCs w:val="24"/>
        </w:rPr>
        <w:t xml:space="preserve">at least </w:t>
      </w:r>
      <w:r w:rsidR="00EA558B">
        <w:rPr>
          <w:b/>
          <w:sz w:val="24"/>
          <w:szCs w:val="24"/>
        </w:rPr>
        <w:t>six</w:t>
      </w:r>
      <w:r w:rsidRPr="00BF1ACD">
        <w:rPr>
          <w:b/>
          <w:sz w:val="24"/>
          <w:szCs w:val="24"/>
        </w:rPr>
        <w:t xml:space="preserve"> months</w:t>
      </w:r>
      <w:r>
        <w:rPr>
          <w:sz w:val="24"/>
          <w:szCs w:val="24"/>
        </w:rPr>
        <w:t xml:space="preserve"> prior to your license expiring.</w:t>
      </w:r>
      <w:r w:rsidR="00164B0F">
        <w:rPr>
          <w:sz w:val="24"/>
          <w:szCs w:val="24"/>
        </w:rPr>
        <w:t xml:space="preserve"> Companies may not continue</w:t>
      </w:r>
      <w:r w:rsidR="00EA558B">
        <w:rPr>
          <w:sz w:val="24"/>
          <w:szCs w:val="24"/>
        </w:rPr>
        <w:t xml:space="preserve"> to</w:t>
      </w:r>
      <w:r w:rsidR="00164B0F">
        <w:rPr>
          <w:sz w:val="24"/>
          <w:szCs w:val="24"/>
        </w:rPr>
        <w:t xml:space="preserve"> </w:t>
      </w:r>
      <w:r w:rsidR="00FE1461">
        <w:rPr>
          <w:sz w:val="24"/>
          <w:szCs w:val="24"/>
        </w:rPr>
        <w:t>manufactur</w:t>
      </w:r>
      <w:r w:rsidR="00EA558B">
        <w:rPr>
          <w:sz w:val="24"/>
          <w:szCs w:val="24"/>
        </w:rPr>
        <w:t>e, distribute,</w:t>
      </w:r>
      <w:r w:rsidR="00FE1461">
        <w:rPr>
          <w:sz w:val="24"/>
          <w:szCs w:val="24"/>
        </w:rPr>
        <w:t xml:space="preserve"> or </w:t>
      </w:r>
      <w:r w:rsidR="00EA558B">
        <w:rPr>
          <w:sz w:val="24"/>
          <w:szCs w:val="24"/>
        </w:rPr>
        <w:t>process sales</w:t>
      </w:r>
      <w:r w:rsidR="00164B0F">
        <w:rPr>
          <w:sz w:val="24"/>
          <w:szCs w:val="24"/>
        </w:rPr>
        <w:t xml:space="preserve"> under </w:t>
      </w:r>
      <w:r w:rsidR="00811C94">
        <w:rPr>
          <w:sz w:val="24"/>
          <w:szCs w:val="24"/>
        </w:rPr>
        <w:t xml:space="preserve">an expired license. </w:t>
      </w:r>
    </w:p>
    <w:p w:rsidR="00F93B54" w:rsidRDefault="00811C94" w:rsidP="00F93B5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Submitting a</w:t>
      </w:r>
      <w:r w:rsidR="00164B0F">
        <w:rPr>
          <w:sz w:val="24"/>
          <w:szCs w:val="24"/>
        </w:rPr>
        <w:t xml:space="preserve"> renewal application does not extend your license agreement, nor does submitting a renewal application guarantee your continued relationship with the Air Force Brand.</w:t>
      </w:r>
    </w:p>
    <w:p w:rsidR="00F93B54" w:rsidRPr="003F559D" w:rsidRDefault="00F93B54" w:rsidP="00683BD4">
      <w:pPr>
        <w:pStyle w:val="Heading1"/>
        <w15:collapsed/>
        <w:rPr>
          <w:b/>
        </w:rPr>
      </w:pPr>
      <w:r w:rsidRPr="003F559D">
        <w:rPr>
          <w:b/>
        </w:rPr>
        <w:t>Final Thoughts</w:t>
      </w:r>
    </w:p>
    <w:p w:rsidR="000A2B17" w:rsidRDefault="00214BD6" w:rsidP="00F93B54">
      <w:pPr>
        <w:rPr>
          <w:sz w:val="24"/>
          <w:szCs w:val="24"/>
        </w:rPr>
      </w:pPr>
      <w:r>
        <w:rPr>
          <w:sz w:val="24"/>
          <w:szCs w:val="24"/>
        </w:rPr>
        <w:t xml:space="preserve">The licensing team is happy to welcome home SrA Zachary Kee from his overseas deployment. Our Nation asks a lot of our active-duty Airmen – whether it’s going to the front line to protect our personal freedoms, helping others gain their freedom, or providing food, shelter, and comfort after a natural disaster. </w:t>
      </w:r>
      <w:r w:rsidR="00F41E4D">
        <w:rPr>
          <w:sz w:val="24"/>
          <w:szCs w:val="24"/>
        </w:rPr>
        <w:t>O</w:t>
      </w:r>
      <w:r>
        <w:rPr>
          <w:sz w:val="24"/>
          <w:szCs w:val="24"/>
        </w:rPr>
        <w:t>ur Airmen</w:t>
      </w:r>
      <w:r w:rsidR="0006297C">
        <w:rPr>
          <w:sz w:val="24"/>
          <w:szCs w:val="24"/>
        </w:rPr>
        <w:t xml:space="preserve"> boldly</w:t>
      </w:r>
      <w:r w:rsidR="00F41E4D">
        <w:rPr>
          <w:sz w:val="24"/>
          <w:szCs w:val="24"/>
        </w:rPr>
        <w:t xml:space="preserve"> and without </w:t>
      </w:r>
      <w:r w:rsidR="006B642D">
        <w:rPr>
          <w:sz w:val="24"/>
          <w:szCs w:val="24"/>
        </w:rPr>
        <w:t>hesitation</w:t>
      </w:r>
      <w:r w:rsidR="0006297C">
        <w:rPr>
          <w:sz w:val="24"/>
          <w:szCs w:val="24"/>
        </w:rPr>
        <w:t xml:space="preserve"> </w:t>
      </w:r>
      <w:r>
        <w:rPr>
          <w:sz w:val="24"/>
          <w:szCs w:val="24"/>
        </w:rPr>
        <w:t>answer the call</w:t>
      </w:r>
      <w:r w:rsidR="007F0A77">
        <w:rPr>
          <w:sz w:val="24"/>
          <w:szCs w:val="24"/>
        </w:rPr>
        <w:t>,</w:t>
      </w:r>
      <w:r w:rsidR="006B642D">
        <w:rPr>
          <w:sz w:val="24"/>
          <w:szCs w:val="24"/>
        </w:rPr>
        <w:t xml:space="preserve"> often</w:t>
      </w:r>
      <w:r w:rsidR="007F0A77">
        <w:rPr>
          <w:sz w:val="24"/>
          <w:szCs w:val="24"/>
        </w:rPr>
        <w:t xml:space="preserve"> leaving behind family and friends for long periods of time</w:t>
      </w:r>
      <w:r>
        <w:rPr>
          <w:sz w:val="24"/>
          <w:szCs w:val="24"/>
        </w:rPr>
        <w:t xml:space="preserve">. </w:t>
      </w:r>
    </w:p>
    <w:p w:rsidR="00F93B54" w:rsidRDefault="006563E3" w:rsidP="00F93B54">
      <w:pPr>
        <w:rPr>
          <w:sz w:val="24"/>
          <w:szCs w:val="24"/>
        </w:rPr>
      </w:pPr>
      <w:r>
        <w:rPr>
          <w:sz w:val="24"/>
          <w:szCs w:val="24"/>
        </w:rPr>
        <w:t>When you see a military member – Soldier, Sailor, Airman, Marine, or Coast Guardsman – take a moment to appreciate their sacrifice.</w:t>
      </w:r>
      <w:r w:rsidR="007F0A77">
        <w:rPr>
          <w:sz w:val="24"/>
          <w:szCs w:val="24"/>
        </w:rPr>
        <w:t xml:space="preserve"> And</w:t>
      </w:r>
      <w:r w:rsidR="006B642D">
        <w:rPr>
          <w:sz w:val="24"/>
          <w:szCs w:val="24"/>
        </w:rPr>
        <w:t xml:space="preserve"> rest well knowing </w:t>
      </w:r>
      <w:r w:rsidR="007F0A77">
        <w:rPr>
          <w:sz w:val="24"/>
          <w:szCs w:val="24"/>
        </w:rPr>
        <w:t>that you have the best</w:t>
      </w:r>
      <w:r w:rsidR="006B642D">
        <w:rPr>
          <w:sz w:val="24"/>
          <w:szCs w:val="24"/>
        </w:rPr>
        <w:t xml:space="preserve"> of the best </w:t>
      </w:r>
      <w:r w:rsidR="00637860">
        <w:rPr>
          <w:sz w:val="24"/>
          <w:szCs w:val="24"/>
        </w:rPr>
        <w:t>watching out for you.</w:t>
      </w:r>
    </w:p>
    <w:p w:rsidR="00F93B54" w:rsidRPr="00FF3131" w:rsidRDefault="0030459C" w:rsidP="00683BD4">
      <w:pPr>
        <w:pStyle w:val="Heading1"/>
        <w15:collapsed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2169795</wp:posOffset>
                </wp:positionH>
                <wp:positionV relativeFrom="paragraph">
                  <wp:posOffset>1555115</wp:posOffset>
                </wp:positionV>
                <wp:extent cx="2514600" cy="1362075"/>
                <wp:effectExtent l="0" t="0" r="19050" b="28575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62075"/>
                        </a:xfrm>
                        <a:prstGeom prst="snip2Diag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B17" w:rsidRDefault="000A2B17" w:rsidP="000A2B1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Air Force licensing team has 20 business days to review all submissions </w:t>
                            </w:r>
                            <w:r w:rsidR="005131AB">
                              <w:rPr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hyperlink r:id="rId20" w:history="1">
                              <w:r w:rsidRPr="00BF073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Trademarx Online</w:t>
                              </w:r>
                            </w:hyperlink>
                            <w:r w:rsidR="00632BB7">
                              <w:rPr>
                                <w:sz w:val="24"/>
                                <w:szCs w:val="24"/>
                              </w:rPr>
                              <w:t xml:space="preserve"> design approvals system. Plan accordingly.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5" o:spid="_x0000_s1027" style="position:absolute;margin-left:170.85pt;margin-top:122.45pt;width:19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1460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" adj="-11796480,,5400" path="m,l2287583,r227017,227017l2514600,1362075r,l227017,1362075,,1135058,,xe" fillcolor="#ffc000" strokecolor="#1f4d78 [1604]" strokeweight="1pt">
                <v:stroke joinstyle="miter"/>
                <v:formulas/>
                <v:path arrowok="t" o:connecttype="custom" o:connectlocs="0,0;2287583,0;2514600,227017;2514600,1362075;2514600,1362075;227017,1362075;0,1135058;0,0" o:connectangles="0,0,0,0,0,0,0,0" textboxrect="0,0,2514600,1362075"/>
                <v:textbox>
                  <w:txbxContent>
                    <w:p w:rsidR="000A2B17" w:rsidRDefault="000A2B17" w:rsidP="000A2B1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The Air Force licensing team has 20 business days to review all submissions </w:t>
                      </w:r>
                      <w:r w:rsidR="005131AB">
                        <w:rPr>
                          <w:sz w:val="24"/>
                          <w:szCs w:val="24"/>
                        </w:rPr>
                        <w:t xml:space="preserve">in the </w:t>
                      </w:r>
                      <w:hyperlink r:id="rId21" w:history="1">
                        <w:r w:rsidRPr="00BF0731">
                          <w:rPr>
                            <w:rStyle w:val="Hyperlink"/>
                            <w:sz w:val="24"/>
                            <w:szCs w:val="24"/>
                          </w:rPr>
                          <w:t>Trademarx Online</w:t>
                        </w:r>
                      </w:hyperlink>
                      <w:r w:rsidR="00632BB7">
                        <w:rPr>
                          <w:sz w:val="24"/>
                          <w:szCs w:val="24"/>
                        </w:rPr>
                        <w:t xml:space="preserve"> design approvals system. Plan accordingly.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EFD42" wp14:editId="20D6B3A1">
                <wp:simplePos x="0" y="0"/>
                <wp:positionH relativeFrom="margin">
                  <wp:posOffset>4781550</wp:posOffset>
                </wp:positionH>
                <wp:positionV relativeFrom="paragraph">
                  <wp:posOffset>1554480</wp:posOffset>
                </wp:positionV>
                <wp:extent cx="2057400" cy="1362075"/>
                <wp:effectExtent l="0" t="0" r="19050" b="28575"/>
                <wp:wrapNone/>
                <wp:docPr id="8" name="Snip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62075"/>
                        </a:xfrm>
                        <a:prstGeom prst="snip2Diag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B17" w:rsidRDefault="000A2B17" w:rsidP="000A2B1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Include projected wholesale and retail prices in </w:t>
                            </w:r>
                            <w:hyperlink r:id="rId22" w:history="1">
                              <w:r w:rsidRPr="00BF073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Trademar</w:t>
                              </w:r>
                              <w:r w:rsidR="007C11B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BF073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Online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when uploading “Phase II” submissions.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FD42" id="Snip Diagonal Corner Rectangle 8" o:spid="_x0000_s1028" style="position:absolute;margin-left:376.5pt;margin-top:122.4pt;width:162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5740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" adj="-11796480,,5400" path="m,l1830383,r227017,227017l2057400,1362075r,l227017,1362075,,1135058,,xe" fillcolor="#ffc000" strokecolor="#1f4d78 [1604]" strokeweight="1pt">
                <v:stroke joinstyle="miter"/>
                <v:formulas/>
                <v:path arrowok="t" o:connecttype="custom" o:connectlocs="0,0;1830383,0;2057400,227017;2057400,1362075;2057400,1362075;227017,1362075;0,1135058;0,0" o:connectangles="0,0,0,0,0,0,0,0" textboxrect="0,0,2057400,1362075"/>
                <v:textbox>
                  <w:txbxContent>
                    <w:p w:rsidR="000A2B17" w:rsidRDefault="000A2B17" w:rsidP="000A2B17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Include projected wholesale and retail prices in </w:t>
                      </w:r>
                      <w:hyperlink r:id="rId23" w:history="1">
                        <w:r w:rsidRPr="00BF0731">
                          <w:rPr>
                            <w:rStyle w:val="Hyperlink"/>
                            <w:sz w:val="24"/>
                            <w:szCs w:val="24"/>
                          </w:rPr>
                          <w:t>Trademar</w:t>
                        </w:r>
                        <w:r w:rsidR="007C11B6">
                          <w:rPr>
                            <w:rStyle w:val="Hyperlink"/>
                            <w:sz w:val="24"/>
                            <w:szCs w:val="24"/>
                          </w:rPr>
                          <w:t>x</w:t>
                        </w:r>
                        <w:r w:rsidRPr="00BF0731">
                          <w:rPr>
                            <w:rStyle w:val="Hyperlink"/>
                            <w:sz w:val="24"/>
                            <w:szCs w:val="24"/>
                          </w:rPr>
                          <w:t xml:space="preserve"> Online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when uploading “Phase II” submissions.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2E2D5" wp14:editId="0FB4FF97">
                <wp:simplePos x="0" y="0"/>
                <wp:positionH relativeFrom="margin">
                  <wp:posOffset>0</wp:posOffset>
                </wp:positionH>
                <wp:positionV relativeFrom="paragraph">
                  <wp:posOffset>1587750</wp:posOffset>
                </wp:positionV>
                <wp:extent cx="2057400" cy="1362075"/>
                <wp:effectExtent l="0" t="0" r="19050" b="28575"/>
                <wp:wrapNone/>
                <wp:docPr id="10" name="Snip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62075"/>
                        </a:xfrm>
                        <a:prstGeom prst="snip2Diag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2E1" w:rsidRDefault="007F32E1" w:rsidP="007F32E1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Ensure you click “close quarter” after </w:t>
                            </w:r>
                            <w:r w:rsidR="005131AB">
                              <w:rPr>
                                <w:sz w:val="24"/>
                                <w:szCs w:val="24"/>
                              </w:rPr>
                              <w:t>saving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your quarterly sales report</w:t>
                            </w:r>
                            <w:r w:rsidR="00D25944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hyperlink r:id="rId24" w:history="1">
                              <w:r w:rsidR="00D25944" w:rsidRPr="00D2594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Trademarx Online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2E2D5" id="Snip Diagonal Corner Rectangle 10" o:spid="_x0000_s1029" style="position:absolute;margin-left:0;margin-top:125pt;width:162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5740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" adj="-11796480,,5400" path="m,l1830383,r227017,227017l2057400,1362075r,l227017,1362075,,1135058,,xe" fillcolor="#ffc000" strokecolor="#1f4d78 [1604]" strokeweight="1pt">
                <v:stroke joinstyle="miter"/>
                <v:formulas/>
                <v:path arrowok="t" o:connecttype="custom" o:connectlocs="0,0;1830383,0;2057400,227017;2057400,1362075;2057400,1362075;227017,1362075;0,1135058;0,0" o:connectangles="0,0,0,0,0,0,0,0" textboxrect="0,0,2057400,1362075"/>
                <v:textbox>
                  <w:txbxContent>
                    <w:p w:rsidR="007F32E1" w:rsidRDefault="007F32E1" w:rsidP="007F32E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Ensure you click “close quarter” after </w:t>
                      </w:r>
                      <w:r w:rsidR="005131AB">
                        <w:rPr>
                          <w:sz w:val="24"/>
                          <w:szCs w:val="24"/>
                        </w:rPr>
                        <w:t>saving</w:t>
                      </w:r>
                      <w:r>
                        <w:rPr>
                          <w:sz w:val="24"/>
                          <w:szCs w:val="24"/>
                        </w:rPr>
                        <w:t xml:space="preserve"> your quarterly sales report</w:t>
                      </w:r>
                      <w:r w:rsidR="00D25944">
                        <w:rPr>
                          <w:sz w:val="24"/>
                          <w:szCs w:val="24"/>
                        </w:rPr>
                        <w:t xml:space="preserve"> in </w:t>
                      </w:r>
                      <w:hyperlink r:id="rId25" w:history="1">
                        <w:r w:rsidR="00D25944" w:rsidRPr="00D25944">
                          <w:rPr>
                            <w:rStyle w:val="Hyperlink"/>
                            <w:sz w:val="24"/>
                            <w:szCs w:val="24"/>
                          </w:rPr>
                          <w:t>Trademarx Online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B54" w:rsidRPr="00FF3131">
        <w:rPr>
          <w:b/>
        </w:rPr>
        <w:t>Important Link</w:t>
      </w:r>
      <w:r w:rsidR="00AB423D" w:rsidRPr="00FF3131">
        <w:rPr>
          <w:b/>
        </w:rPr>
        <w:t>s</w:t>
      </w:r>
    </w:p>
    <w:p w:rsidR="00F93B54" w:rsidRDefault="00206856" w:rsidP="007C66CB">
      <w:pPr>
        <w:spacing w:after="0" w:line="240" w:lineRule="auto"/>
        <w:rPr>
          <w:sz w:val="24"/>
          <w:szCs w:val="24"/>
        </w:rPr>
      </w:pPr>
      <w:hyperlink r:id="rId26" w:history="1">
        <w:r w:rsidR="00F93B54" w:rsidRPr="00FA2172">
          <w:rPr>
            <w:rStyle w:val="Hyperlink"/>
            <w:sz w:val="24"/>
            <w:szCs w:val="24"/>
          </w:rPr>
          <w:t>Trademarx Online</w:t>
        </w:r>
      </w:hyperlink>
    </w:p>
    <w:p w:rsidR="00F93B54" w:rsidRDefault="00206856" w:rsidP="007C66CB">
      <w:pPr>
        <w:spacing w:after="0" w:line="240" w:lineRule="auto"/>
        <w:rPr>
          <w:sz w:val="24"/>
          <w:szCs w:val="24"/>
        </w:rPr>
      </w:pPr>
      <w:hyperlink r:id="rId27" w:history="1">
        <w:r w:rsidR="00F93B54" w:rsidRPr="00C629E5">
          <w:rPr>
            <w:rStyle w:val="Hyperlink"/>
            <w:sz w:val="24"/>
            <w:szCs w:val="24"/>
          </w:rPr>
          <w:t xml:space="preserve">JPatton </w:t>
        </w:r>
        <w:proofErr w:type="gramStart"/>
        <w:r w:rsidR="00F93B54" w:rsidRPr="00C629E5">
          <w:rPr>
            <w:rStyle w:val="Hyperlink"/>
            <w:sz w:val="24"/>
            <w:szCs w:val="24"/>
          </w:rPr>
          <w:t>On</w:t>
        </w:r>
        <w:proofErr w:type="gramEnd"/>
        <w:r w:rsidR="00F93B54" w:rsidRPr="00C629E5">
          <w:rPr>
            <w:rStyle w:val="Hyperlink"/>
            <w:sz w:val="24"/>
            <w:szCs w:val="24"/>
          </w:rPr>
          <w:t xml:space="preserve"> Demand</w:t>
        </w:r>
      </w:hyperlink>
    </w:p>
    <w:p w:rsidR="005F64A0" w:rsidRDefault="00206856" w:rsidP="000A2B17">
      <w:pPr>
        <w:spacing w:after="0" w:line="240" w:lineRule="auto"/>
        <w:rPr>
          <w:rStyle w:val="Hyperlink"/>
          <w:sz w:val="24"/>
          <w:szCs w:val="24"/>
        </w:rPr>
      </w:pPr>
      <w:hyperlink r:id="rId28" w:history="1">
        <w:r w:rsidR="00F93B54" w:rsidRPr="007C66CB">
          <w:rPr>
            <w:rStyle w:val="Hyperlink"/>
            <w:sz w:val="24"/>
            <w:szCs w:val="24"/>
          </w:rPr>
          <w:t>USAF Branding &amp; Trademark Licensing</w:t>
        </w:r>
      </w:hyperlink>
    </w:p>
    <w:p w:rsidR="008D7EBF" w:rsidRDefault="00206856" w:rsidP="000A2B17">
      <w:pPr>
        <w:spacing w:after="0" w:line="240" w:lineRule="auto"/>
        <w:rPr>
          <w:rStyle w:val="Hyperlink"/>
          <w:sz w:val="24"/>
          <w:szCs w:val="24"/>
        </w:rPr>
      </w:pPr>
      <w:hyperlink r:id="rId29" w:history="1">
        <w:r w:rsidR="008D7EBF" w:rsidRPr="008D7EBF">
          <w:rPr>
            <w:rStyle w:val="Hyperlink"/>
            <w:sz w:val="24"/>
            <w:szCs w:val="24"/>
          </w:rPr>
          <w:t>Centralized Receivables Service</w:t>
        </w:r>
      </w:hyperlink>
      <w:r w:rsidR="000D3E67">
        <w:rPr>
          <w:rStyle w:val="Hyperlink"/>
          <w:sz w:val="24"/>
          <w:szCs w:val="24"/>
        </w:rPr>
        <w:t xml:space="preserve"> (CRS)</w:t>
      </w:r>
    </w:p>
    <w:sectPr w:rsidR="008D7EBF" w:rsidSect="00F24A04">
      <w:headerReference w:type="default" r:id="rId30"/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DE" w:rsidRDefault="001F72DE" w:rsidP="00EA5368">
      <w:pPr>
        <w:spacing w:after="0" w:line="240" w:lineRule="auto"/>
      </w:pPr>
      <w:r>
        <w:separator/>
      </w:r>
    </w:p>
  </w:endnote>
  <w:endnote w:type="continuationSeparator" w:id="0">
    <w:p w:rsidR="001F72DE" w:rsidRDefault="001F72DE" w:rsidP="00E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14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A9D" w:rsidRDefault="00314A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8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A9D" w:rsidRDefault="00314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DE" w:rsidRDefault="001F72DE" w:rsidP="00EA5368">
      <w:pPr>
        <w:spacing w:after="0" w:line="240" w:lineRule="auto"/>
      </w:pPr>
      <w:r>
        <w:separator/>
      </w:r>
    </w:p>
  </w:footnote>
  <w:footnote w:type="continuationSeparator" w:id="0">
    <w:p w:rsidR="001F72DE" w:rsidRDefault="001F72DE" w:rsidP="00EA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68" w:rsidRPr="00EA5368" w:rsidRDefault="00314A9D" w:rsidP="00EA5368">
    <w:pPr>
      <w:spacing w:after="0" w:line="240" w:lineRule="auto"/>
      <w:rPr>
        <w:rFonts w:ascii="Book Antiqua" w:eastAsia="MS PMincho" w:hAnsi="Book Antiqua" w:cs="Times New Roman"/>
        <w:sz w:val="24"/>
        <w:szCs w:val="24"/>
      </w:rPr>
    </w:pPr>
    <w:r w:rsidRPr="00EA5368">
      <w:rPr>
        <w:rFonts w:ascii="Book Antiqua" w:eastAsia="MS PMincho" w:hAnsi="Book Antiqu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15BDF" wp14:editId="279E4996">
              <wp:simplePos x="0" y="0"/>
              <wp:positionH relativeFrom="page">
                <wp:posOffset>457200</wp:posOffset>
              </wp:positionH>
              <wp:positionV relativeFrom="page">
                <wp:posOffset>474765</wp:posOffset>
              </wp:positionV>
              <wp:extent cx="6858000" cy="0"/>
              <wp:effectExtent l="0" t="1905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16CA7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64AC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7.4pt" to="8in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" strokecolor="#416ca7" strokeweight="3pt">
              <w10:wrap anchorx="page" anchory="page"/>
            </v:line>
          </w:pict>
        </mc:Fallback>
      </mc:AlternateContent>
    </w:r>
    <w:r w:rsidRPr="00EA5368">
      <w:rPr>
        <w:rFonts w:ascii="Book Antiqua" w:eastAsia="MS PMincho" w:hAnsi="Book Antiqu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10FAFE" wp14:editId="4B79DF41">
              <wp:simplePos x="0" y="0"/>
              <wp:positionH relativeFrom="page">
                <wp:posOffset>4572000</wp:posOffset>
              </wp:positionH>
              <wp:positionV relativeFrom="page">
                <wp:posOffset>224790</wp:posOffset>
              </wp:positionV>
              <wp:extent cx="2743200" cy="222250"/>
              <wp:effectExtent l="0" t="0" r="0" b="6350"/>
              <wp:wrapTight wrapText="bothSides">
                <wp:wrapPolygon edited="0">
                  <wp:start x="0" y="0"/>
                  <wp:lineTo x="0" y="20366"/>
                  <wp:lineTo x="21450" y="20366"/>
                  <wp:lineTo x="21450" y="0"/>
                  <wp:lineTo x="0" y="0"/>
                </wp:wrapPolygon>
              </wp:wrapTight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A5368" w:rsidRPr="00EA5368" w:rsidRDefault="00EA5368" w:rsidP="00EA5368">
                          <w:pPr>
                            <w:pStyle w:val="Header-Right"/>
                            <w:rPr>
                              <w:rFonts w:ascii="Book Antiqua" w:hAnsi="Book Antiqua"/>
                            </w:rPr>
                          </w:pPr>
                          <w:r w:rsidRPr="00EA5368">
                            <w:rPr>
                              <w:rFonts w:ascii="Book Antiqua" w:hAnsi="Book Antiqua"/>
                            </w:rPr>
                            <w:t xml:space="preserve">Issue </w:t>
                          </w:r>
                          <w:r w:rsidR="000B7547">
                            <w:rPr>
                              <w:rFonts w:ascii="Book Antiqua" w:hAnsi="Book Antiqua"/>
                            </w:rPr>
                            <w:t>4</w:t>
                          </w:r>
                          <w:r w:rsidRPr="00EA5368">
                            <w:rPr>
                              <w:rFonts w:ascii="Book Antiqua" w:hAnsi="Book Antiqua"/>
                            </w:rPr>
                            <w:t xml:space="preserve">, </w:t>
                          </w:r>
                          <w:proofErr w:type="gramStart"/>
                          <w:r w:rsidR="000B7547">
                            <w:rPr>
                              <w:rFonts w:ascii="Book Antiqua" w:hAnsi="Book Antiqua"/>
                            </w:rPr>
                            <w:t>Winter</w:t>
                          </w:r>
                          <w:proofErr w:type="gramEnd"/>
                          <w:r w:rsidRPr="00EA5368">
                            <w:rPr>
                              <w:rFonts w:ascii="Book Antiqua" w:hAnsi="Book Antiqua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0FA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in;margin-top:17.7pt;width:3in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" filled="f" stroked="f">
              <v:textbox inset="0,0,0,0">
                <w:txbxContent>
                  <w:p w:rsidR="00EA5368" w:rsidRPr="00EA5368" w:rsidRDefault="00EA5368" w:rsidP="00EA5368">
                    <w:pPr>
                      <w:pStyle w:val="Header-Right"/>
                      <w:rPr>
                        <w:rFonts w:ascii="Book Antiqua" w:hAnsi="Book Antiqua"/>
                      </w:rPr>
                    </w:pPr>
                    <w:r w:rsidRPr="00EA5368">
                      <w:rPr>
                        <w:rFonts w:ascii="Book Antiqua" w:hAnsi="Book Antiqua"/>
                      </w:rPr>
                      <w:t xml:space="preserve">Issue </w:t>
                    </w:r>
                    <w:r w:rsidR="000B7547">
                      <w:rPr>
                        <w:rFonts w:ascii="Book Antiqua" w:hAnsi="Book Antiqua"/>
                      </w:rPr>
                      <w:t>4</w:t>
                    </w:r>
                    <w:r w:rsidRPr="00EA5368">
                      <w:rPr>
                        <w:rFonts w:ascii="Book Antiqua" w:hAnsi="Book Antiqua"/>
                      </w:rPr>
                      <w:t xml:space="preserve">, </w:t>
                    </w:r>
                    <w:r w:rsidR="000B7547">
                      <w:rPr>
                        <w:rFonts w:ascii="Book Antiqua" w:hAnsi="Book Antiqua"/>
                      </w:rPr>
                      <w:t>Winter</w:t>
                    </w:r>
                    <w:r w:rsidRPr="00EA5368">
                      <w:rPr>
                        <w:rFonts w:ascii="Book Antiqua" w:hAnsi="Book Antiqua"/>
                      </w:rPr>
                      <w:t xml:space="preserve"> 2016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EA5368">
      <w:rPr>
        <w:rFonts w:ascii="Book Antiqua" w:eastAsia="MS PMincho" w:hAnsi="Book Antiqu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6998E" wp14:editId="69EDA75D">
              <wp:simplePos x="0" y="0"/>
              <wp:positionH relativeFrom="page">
                <wp:posOffset>457200</wp:posOffset>
              </wp:positionH>
              <wp:positionV relativeFrom="page">
                <wp:posOffset>225210</wp:posOffset>
              </wp:positionV>
              <wp:extent cx="4019550" cy="222250"/>
              <wp:effectExtent l="0" t="0" r="0" b="635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A5368" w:rsidRPr="00EA5368" w:rsidRDefault="00EA5368" w:rsidP="00EA5368">
                          <w:pPr>
                            <w:pStyle w:val="Head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EA5368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Bringing You Air Force Trademark Licensing News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6998E" id="Text Box 8" o:spid="_x0000_s1031" type="#_x0000_t202" style="position:absolute;margin-left:36pt;margin-top:17.75pt;width:316.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" filled="f" stroked="f">
              <v:textbox inset="0,0,0,0">
                <w:txbxContent>
                  <w:p w:rsidR="00EA5368" w:rsidRPr="00EA5368" w:rsidRDefault="00EA5368" w:rsidP="00EA5368">
                    <w:pPr>
                      <w:pStyle w:val="Head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EA5368">
                      <w:rPr>
                        <w:rFonts w:ascii="Book Antiqua" w:hAnsi="Book Antiqua"/>
                        <w:sz w:val="24"/>
                        <w:szCs w:val="24"/>
                      </w:rPr>
                      <w:t>Bringing You Air Force Trademark Licensing News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A5368" w:rsidRDefault="00EA5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+8a++VF1eJYwYJDO/rnVz3pIM3ZSUl5yrOjtTgUJDVnVaRQ3UAQQxEZpP/ypD5xn8s9cOthcAqNVdn1H2mlyQ==" w:salt="skH248QQTaLGbhvQOkWSy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68"/>
    <w:rsid w:val="00013003"/>
    <w:rsid w:val="000233D3"/>
    <w:rsid w:val="00044A92"/>
    <w:rsid w:val="0006297C"/>
    <w:rsid w:val="000648C8"/>
    <w:rsid w:val="00065A65"/>
    <w:rsid w:val="0008598E"/>
    <w:rsid w:val="000A2B17"/>
    <w:rsid w:val="000B7547"/>
    <w:rsid w:val="000D3E67"/>
    <w:rsid w:val="0010081C"/>
    <w:rsid w:val="00116981"/>
    <w:rsid w:val="00164B0F"/>
    <w:rsid w:val="00175F38"/>
    <w:rsid w:val="001E2057"/>
    <w:rsid w:val="001E387C"/>
    <w:rsid w:val="001F2AD3"/>
    <w:rsid w:val="001F72DE"/>
    <w:rsid w:val="00203D13"/>
    <w:rsid w:val="00206856"/>
    <w:rsid w:val="00214BD6"/>
    <w:rsid w:val="00240A3D"/>
    <w:rsid w:val="002461B2"/>
    <w:rsid w:val="002555A7"/>
    <w:rsid w:val="00264CB7"/>
    <w:rsid w:val="00264E63"/>
    <w:rsid w:val="00295163"/>
    <w:rsid w:val="0030459C"/>
    <w:rsid w:val="00314A9D"/>
    <w:rsid w:val="00346890"/>
    <w:rsid w:val="0037701F"/>
    <w:rsid w:val="003821C0"/>
    <w:rsid w:val="0038542C"/>
    <w:rsid w:val="00386222"/>
    <w:rsid w:val="003B6A48"/>
    <w:rsid w:val="003E378D"/>
    <w:rsid w:val="003F559D"/>
    <w:rsid w:val="00405768"/>
    <w:rsid w:val="00461067"/>
    <w:rsid w:val="00461190"/>
    <w:rsid w:val="00472AC0"/>
    <w:rsid w:val="004F3F84"/>
    <w:rsid w:val="005131AB"/>
    <w:rsid w:val="00541EC3"/>
    <w:rsid w:val="00570983"/>
    <w:rsid w:val="00572FE8"/>
    <w:rsid w:val="005F64A0"/>
    <w:rsid w:val="00632BB7"/>
    <w:rsid w:val="00637860"/>
    <w:rsid w:val="006563E3"/>
    <w:rsid w:val="006741BD"/>
    <w:rsid w:val="00683BD4"/>
    <w:rsid w:val="006B642D"/>
    <w:rsid w:val="006F27B7"/>
    <w:rsid w:val="007263FE"/>
    <w:rsid w:val="00751B3F"/>
    <w:rsid w:val="00757591"/>
    <w:rsid w:val="007659CB"/>
    <w:rsid w:val="00772AFF"/>
    <w:rsid w:val="007924A5"/>
    <w:rsid w:val="00795B1D"/>
    <w:rsid w:val="0079734D"/>
    <w:rsid w:val="007A1982"/>
    <w:rsid w:val="007C11B6"/>
    <w:rsid w:val="007C3C23"/>
    <w:rsid w:val="007C66CB"/>
    <w:rsid w:val="007F0A77"/>
    <w:rsid w:val="007F32E1"/>
    <w:rsid w:val="00811C94"/>
    <w:rsid w:val="00867772"/>
    <w:rsid w:val="00876E16"/>
    <w:rsid w:val="008C3219"/>
    <w:rsid w:val="008C3A3E"/>
    <w:rsid w:val="008D3BFC"/>
    <w:rsid w:val="008D7EBF"/>
    <w:rsid w:val="009452D3"/>
    <w:rsid w:val="00946C8A"/>
    <w:rsid w:val="00960A65"/>
    <w:rsid w:val="009A10F0"/>
    <w:rsid w:val="009B5442"/>
    <w:rsid w:val="009E64FF"/>
    <w:rsid w:val="00AB423D"/>
    <w:rsid w:val="00B17C5D"/>
    <w:rsid w:val="00B446AE"/>
    <w:rsid w:val="00B45EFC"/>
    <w:rsid w:val="00BB14F4"/>
    <w:rsid w:val="00BC5F23"/>
    <w:rsid w:val="00BD63CF"/>
    <w:rsid w:val="00BF04AE"/>
    <w:rsid w:val="00BF0731"/>
    <w:rsid w:val="00BF152A"/>
    <w:rsid w:val="00BF1ACD"/>
    <w:rsid w:val="00C47852"/>
    <w:rsid w:val="00C629E5"/>
    <w:rsid w:val="00CB3B70"/>
    <w:rsid w:val="00CC6E1C"/>
    <w:rsid w:val="00CD07A6"/>
    <w:rsid w:val="00D25944"/>
    <w:rsid w:val="00D8596A"/>
    <w:rsid w:val="00D951C6"/>
    <w:rsid w:val="00DD7543"/>
    <w:rsid w:val="00DE1E83"/>
    <w:rsid w:val="00DF090B"/>
    <w:rsid w:val="00E005D6"/>
    <w:rsid w:val="00E13530"/>
    <w:rsid w:val="00EA5368"/>
    <w:rsid w:val="00EA558B"/>
    <w:rsid w:val="00EB6E07"/>
    <w:rsid w:val="00EE4D24"/>
    <w:rsid w:val="00F24A04"/>
    <w:rsid w:val="00F41E4D"/>
    <w:rsid w:val="00F93B54"/>
    <w:rsid w:val="00FA78C4"/>
    <w:rsid w:val="00FC4B83"/>
    <w:rsid w:val="00FC4F81"/>
    <w:rsid w:val="00FE1461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910EE76-9C6C-42AF-B0F0-E2D3702B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A5368"/>
    <w:pPr>
      <w:spacing w:after="0" w:line="1480" w:lineRule="exact"/>
      <w:jc w:val="center"/>
    </w:pPr>
    <w:rPr>
      <w:rFonts w:asciiTheme="majorHAnsi" w:eastAsiaTheme="majorEastAsia" w:hAnsiTheme="majorHAnsi" w:cstheme="majorBidi"/>
      <w:caps/>
      <w:color w:val="44546A" w:themeColor="text2"/>
      <w:sz w:val="1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368"/>
    <w:rPr>
      <w:rFonts w:asciiTheme="majorHAnsi" w:eastAsiaTheme="majorEastAsia" w:hAnsiTheme="majorHAnsi" w:cstheme="majorBidi"/>
      <w:caps/>
      <w:color w:val="44546A" w:themeColor="text2"/>
      <w:sz w:val="144"/>
      <w:szCs w:val="52"/>
    </w:rPr>
  </w:style>
  <w:style w:type="paragraph" w:styleId="Header">
    <w:name w:val="header"/>
    <w:basedOn w:val="Normal"/>
    <w:link w:val="HeaderChar"/>
    <w:uiPriority w:val="99"/>
    <w:unhideWhenUsed/>
    <w:rsid w:val="00E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68"/>
  </w:style>
  <w:style w:type="paragraph" w:styleId="Footer">
    <w:name w:val="footer"/>
    <w:basedOn w:val="Normal"/>
    <w:link w:val="FooterChar"/>
    <w:uiPriority w:val="99"/>
    <w:unhideWhenUsed/>
    <w:rsid w:val="00E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68"/>
  </w:style>
  <w:style w:type="paragraph" w:customStyle="1" w:styleId="Header-Right">
    <w:name w:val="Header - Right"/>
    <w:basedOn w:val="Header"/>
    <w:link w:val="Header-RightChar"/>
    <w:qFormat/>
    <w:rsid w:val="00EA5368"/>
    <w:pPr>
      <w:tabs>
        <w:tab w:val="clear" w:pos="4680"/>
        <w:tab w:val="clear" w:pos="9360"/>
      </w:tabs>
      <w:jc w:val="right"/>
    </w:pPr>
    <w:rPr>
      <w:rFonts w:eastAsiaTheme="minorEastAsia"/>
      <w:sz w:val="24"/>
      <w:szCs w:val="24"/>
    </w:rPr>
  </w:style>
  <w:style w:type="character" w:customStyle="1" w:styleId="Header-RightChar">
    <w:name w:val="Header - Right Char"/>
    <w:basedOn w:val="HeaderChar"/>
    <w:link w:val="Header-Right"/>
    <w:rsid w:val="00EA536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B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5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5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0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rademark.af.mil/Resources/DocumentLibrary.aspx" TargetMode="External"/><Relationship Id="rId18" Type="http://schemas.openxmlformats.org/officeDocument/2006/relationships/hyperlink" Target="http://www.trademark.af.mil/Licensing/CurrentLicensees.aspx" TargetMode="External"/><Relationship Id="rId26" Type="http://schemas.openxmlformats.org/officeDocument/2006/relationships/hyperlink" Target="http://licensing.trademarxonlin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censing.trademarxonline.com/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licensing@us.af.mil" TargetMode="External"/><Relationship Id="rId17" Type="http://schemas.openxmlformats.org/officeDocument/2006/relationships/hyperlink" Target="http://licensing.trademarxonline.com/" TargetMode="External"/><Relationship Id="rId25" Type="http://schemas.openxmlformats.org/officeDocument/2006/relationships/hyperlink" Target="http://licensing.trademarxonline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censing.trademarxonline.com/" TargetMode="External"/><Relationship Id="rId20" Type="http://schemas.openxmlformats.org/officeDocument/2006/relationships/hyperlink" Target="http://licensing.trademarxonline.com/" TargetMode="External"/><Relationship Id="rId29" Type="http://schemas.openxmlformats.org/officeDocument/2006/relationships/hyperlink" Target="https://pay.gov/public/accesscod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rademark.af.mil" TargetMode="External"/><Relationship Id="rId24" Type="http://schemas.openxmlformats.org/officeDocument/2006/relationships/hyperlink" Target="http://licensing.trademarxonline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censing.trademarxonline.com/" TargetMode="External"/><Relationship Id="rId23" Type="http://schemas.openxmlformats.org/officeDocument/2006/relationships/hyperlink" Target="http://licensing.trademarxonline.com/" TargetMode="External"/><Relationship Id="rId28" Type="http://schemas.openxmlformats.org/officeDocument/2006/relationships/hyperlink" Target="http://www.trademark.af.mil" TargetMode="External"/><Relationship Id="rId10" Type="http://schemas.openxmlformats.org/officeDocument/2006/relationships/hyperlink" Target="http://licensing.trademarxonline.com/" TargetMode="External"/><Relationship Id="rId19" Type="http://schemas.openxmlformats.org/officeDocument/2006/relationships/hyperlink" Target="http://www.trademark.af.mil/Licensing/Applications/RenewALicense.asp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y.gov/public/accesscode/" TargetMode="External"/><Relationship Id="rId14" Type="http://schemas.openxmlformats.org/officeDocument/2006/relationships/hyperlink" Target="http://licensing.trademarxonline.com/" TargetMode="External"/><Relationship Id="rId22" Type="http://schemas.openxmlformats.org/officeDocument/2006/relationships/hyperlink" Target="http://licensing.trademarxonline.com/" TargetMode="External"/><Relationship Id="rId27" Type="http://schemas.openxmlformats.org/officeDocument/2006/relationships/hyperlink" Target="http://jpattonondemand.com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C0F2-A25D-4531-B9CE-FADA401F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ROWDEN, APRIL D CIV USAF AFPAA AFPAA/AOL</dc:creator>
  <cp:keywords/>
  <dc:description/>
  <cp:lastModifiedBy>ROWDEN, APRIL D CIV USAF AFPAA AFPAA/AOL</cp:lastModifiedBy>
  <cp:revision>3</cp:revision>
  <cp:lastPrinted>2016-12-20T18:22:00Z</cp:lastPrinted>
  <dcterms:created xsi:type="dcterms:W3CDTF">2017-03-29T19:20:00Z</dcterms:created>
  <dcterms:modified xsi:type="dcterms:W3CDTF">2017-03-29T19:21:00Z</dcterms:modified>
</cp:coreProperties>
</file>